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007B11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80" w:lineRule="atLeast"/>
        <w:ind w:left="0" w:right="0" w:firstLine="0"/>
        <w:jc w:val="both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附件1</w:t>
      </w:r>
    </w:p>
    <w:p w14:paraId="351E9B19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="0" w:right="0" w:firstLine="0"/>
        <w:jc w:val="center"/>
        <w:textAlignment w:val="auto"/>
        <w:rPr>
          <w:rFonts w:ascii="方正小标宋_GBK" w:hAnsi="方正小标宋_GBK" w:eastAsia="方正小标宋_GBK" w:cs="方正小标宋_GBK"/>
          <w:i w:val="0"/>
          <w:iCs w:val="0"/>
          <w:caps w:val="0"/>
          <w:color w:val="000000"/>
          <w:spacing w:val="0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i w:val="0"/>
          <w:iCs w:val="0"/>
          <w:caps w:val="0"/>
          <w:color w:val="000000"/>
          <w:spacing w:val="0"/>
          <w:sz w:val="44"/>
          <w:szCs w:val="44"/>
          <w:shd w:val="clear" w:color="auto" w:fill="FFFFFF"/>
        </w:rPr>
        <w:t>部门整体支出绩效自评报告</w:t>
      </w:r>
    </w:p>
    <w:p w14:paraId="6C274CF9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="0" w:right="0" w:firstLine="0"/>
        <w:jc w:val="center"/>
        <w:textAlignment w:val="auto"/>
        <w:rPr>
          <w:rFonts w:ascii="仿宋_GB2312" w:eastAsia="仿宋_GB2312" w:cs="仿宋_GB2312"/>
          <w:i w:val="0"/>
          <w:iCs w:val="0"/>
          <w:caps w:val="0"/>
          <w:color w:val="000000"/>
          <w:spacing w:val="0"/>
          <w:sz w:val="24"/>
          <w:szCs w:val="24"/>
        </w:rPr>
      </w:pPr>
    </w:p>
    <w:p w14:paraId="27098513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textAlignment w:val="auto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一、部门、单位基本情况</w:t>
      </w:r>
    </w:p>
    <w:p w14:paraId="02C8085B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548" w:firstLineChars="200"/>
        <w:textAlignment w:val="auto"/>
        <w:rPr>
          <w:rFonts w:hint="default" w:ascii="楷体_GB2312" w:eastAsia="楷体_GB2312" w:cs="楷体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default" w:ascii="楷体_GB2312" w:eastAsia="楷体_GB2312" w:cs="楷体_GB2312"/>
          <w:i w:val="0"/>
          <w:iCs w:val="0"/>
          <w:caps w:val="0"/>
          <w:color w:val="000000"/>
          <w:spacing w:val="-23"/>
          <w:sz w:val="32"/>
          <w:szCs w:val="32"/>
          <w:shd w:val="clear" w:color="auto" w:fill="FFFFFF"/>
        </w:rPr>
        <w:t>（一）</w:t>
      </w:r>
      <w:r>
        <w:rPr>
          <w:rFonts w:hint="default" w:ascii="楷体_GB2312" w:eastAsia="楷体_GB2312" w:cs="楷体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机构设置情况</w:t>
      </w:r>
    </w:p>
    <w:p w14:paraId="76DFCEF1">
      <w:pPr>
        <w:autoSpaceDN w:val="0"/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2023年统战部包括办公室、民族宗教事务股、新的社会阶层人士工作股、县政府侨务工作股等股室外、继续包括海联会、党外知识分子联谊会、黄埔同学会等内设组织，另还有会同县归国华侨联合会（简称侨联）、信息服务中心、宗教执法大队（副科级）等二级机构。部门决算只有本级，没有其他二级预算单位。</w:t>
      </w:r>
    </w:p>
    <w:p w14:paraId="4DA80D2B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548" w:firstLineChars="200"/>
        <w:textAlignment w:val="auto"/>
        <w:rPr>
          <w:rFonts w:hint="default" w:ascii="楷体_GB2312" w:eastAsia="楷体_GB2312" w:cs="楷体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default" w:ascii="楷体_GB2312" w:hAnsi="Times New Roman" w:eastAsia="楷体_GB2312" w:cs="楷体_GB2312"/>
          <w:i w:val="0"/>
          <w:iCs w:val="0"/>
          <w:caps w:val="0"/>
          <w:color w:val="000000"/>
          <w:spacing w:val="-23"/>
          <w:sz w:val="32"/>
          <w:szCs w:val="32"/>
          <w:shd w:val="clear" w:color="auto" w:fill="FFFFFF"/>
        </w:rPr>
        <w:t>（二）</w:t>
      </w:r>
      <w:r>
        <w:rPr>
          <w:rFonts w:hint="default" w:ascii="楷体_GB2312" w:eastAsia="楷体_GB2312" w:cs="楷体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人员编制情况</w:t>
      </w:r>
    </w:p>
    <w:p w14:paraId="7981368D">
      <w:pPr>
        <w:autoSpaceDN w:val="0"/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现有行政编制人员1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0</w:t>
      </w:r>
      <w:r>
        <w:rPr>
          <w:rFonts w:hint="eastAsia" w:ascii="仿宋" w:hAnsi="仿宋" w:eastAsia="仿宋" w:cs="仿宋"/>
          <w:sz w:val="32"/>
          <w:szCs w:val="32"/>
        </w:rPr>
        <w:t>个，全额拨款事业编制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</w:rPr>
        <w:t>个，实有在职人数1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</w:rPr>
        <w:t>人，离、退休人员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 w:cs="仿宋"/>
          <w:sz w:val="32"/>
          <w:szCs w:val="32"/>
        </w:rPr>
        <w:t>人。</w:t>
      </w:r>
      <w:r>
        <w:rPr>
          <w:rFonts w:hint="eastAsia" w:ascii="仿宋" w:hAnsi="仿宋" w:eastAsia="仿宋" w:cs="仿宋"/>
          <w:color w:val="333333"/>
          <w:sz w:val="32"/>
          <w:szCs w:val="32"/>
        </w:rPr>
        <w:t>实有在职人数与编制数相符。</w:t>
      </w:r>
    </w:p>
    <w:p w14:paraId="2923A109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548" w:firstLineChars="200"/>
        <w:textAlignment w:val="auto"/>
        <w:rPr>
          <w:rFonts w:hint="default" w:ascii="楷体_GB2312" w:eastAsia="楷体_GB2312" w:cs="楷体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default" w:ascii="楷体_GB2312" w:hAnsi="Times New Roman" w:eastAsia="楷体_GB2312" w:cs="楷体_GB2312"/>
          <w:i w:val="0"/>
          <w:iCs w:val="0"/>
          <w:caps w:val="0"/>
          <w:color w:val="000000"/>
          <w:spacing w:val="-23"/>
          <w:sz w:val="32"/>
          <w:szCs w:val="32"/>
          <w:shd w:val="clear" w:color="auto" w:fill="FFFFFF"/>
        </w:rPr>
        <w:t>（三）</w:t>
      </w:r>
      <w:r>
        <w:rPr>
          <w:rFonts w:hint="default" w:ascii="楷体_GB2312" w:eastAsia="楷体_GB2312" w:cs="楷体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主要职能职责</w:t>
      </w:r>
    </w:p>
    <w:p w14:paraId="181E514B">
      <w:pPr>
        <w:autoSpaceDN w:val="0"/>
        <w:spacing w:line="560" w:lineRule="exact"/>
        <w:ind w:firstLine="643"/>
        <w:rPr>
          <w:rFonts w:hint="eastAsia" w:ascii="仿宋" w:hAnsi="仿宋" w:eastAsia="仿宋" w:cs="仿宋"/>
          <w:color w:val="333333"/>
          <w:sz w:val="32"/>
          <w:szCs w:val="32"/>
          <w:shd w:val="clear" w:color="auto" w:fill="FFFFFF"/>
        </w:rPr>
      </w:pPr>
      <w:r>
        <w:rPr>
          <w:rFonts w:hint="eastAsia" w:ascii="楷体_GB2312" w:eastAsia="楷体_GB2312"/>
          <w:b/>
          <w:sz w:val="32"/>
          <w:szCs w:val="32"/>
        </w:rPr>
        <w:t>主要职责</w:t>
      </w:r>
      <w:r>
        <w:rPr>
          <w:rFonts w:hint="eastAsia" w:ascii="宋体"/>
          <w:b/>
          <w:sz w:val="32"/>
          <w:szCs w:val="32"/>
        </w:rPr>
        <w:t>：</w:t>
      </w:r>
      <w:r>
        <w:rPr>
          <w:rFonts w:hint="eastAsia" w:ascii="仿宋" w:hAnsi="仿宋" w:eastAsia="仿宋" w:cs="仿宋"/>
          <w:color w:val="333333"/>
          <w:sz w:val="32"/>
          <w:szCs w:val="32"/>
          <w:shd w:val="clear" w:color="auto" w:fill="FFFFFF"/>
        </w:rPr>
        <w:t>统战部门是党委主管统战工作的专门机构，其基本职能是组织学习、宣传、研究新时期统战理论，进一步贯彻落实党的各项统战方针、政策，加强多党合作，做好党外知识分子、非公有制经济人士和“两新”组织党工委工作及民族宗教工作，积极开展海外统战工作，认真做好“三胞”及其眷属、海外留学人员的工作，加强与他们的联系，广泛开展联谊活动，实现争取人心、凝聚力量，为和谐社会建设和祖国和平统一大业做出贡献</w:t>
      </w:r>
    </w:p>
    <w:p w14:paraId="75C54C53">
      <w:pPr>
        <w:pStyle w:val="5"/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textAlignment w:val="auto"/>
        <w:rPr>
          <w:rFonts w:hint="default" w:ascii="楷体_GB2312" w:eastAsia="楷体_GB2312" w:cs="楷体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default" w:ascii="楷体_GB2312" w:eastAsia="楷体_GB2312" w:cs="楷体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绩效目标设定情况</w:t>
      </w:r>
    </w:p>
    <w:p w14:paraId="2461B755"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Chars="200" w:right="0" w:rightChars="0"/>
        <w:textAlignment w:val="auto"/>
        <w:rPr>
          <w:rFonts w:hint="eastAsia" w:ascii="仿宋" w:hAnsi="仿宋" w:eastAsia="仿宋" w:cs="仿宋"/>
          <w:color w:val="333333"/>
          <w:kern w:val="2"/>
          <w:sz w:val="32"/>
          <w:szCs w:val="32"/>
          <w:shd w:val="clear" w:color="auto" w:fill="FFFFFF"/>
          <w:lang w:val="en-US" w:eastAsia="zh-CN" w:bidi="ar-SA"/>
        </w:rPr>
      </w:pPr>
      <w:r>
        <w:rPr>
          <w:rFonts w:hint="eastAsia" w:ascii="楷体_GB2312" w:eastAsia="楷体_GB2312" w:cs="楷体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 xml:space="preserve">  </w:t>
      </w:r>
      <w:r>
        <w:rPr>
          <w:rFonts w:hint="eastAsia" w:ascii="仿宋" w:hAnsi="仿宋" w:eastAsia="仿宋" w:cs="仿宋"/>
          <w:color w:val="333333"/>
          <w:kern w:val="2"/>
          <w:sz w:val="32"/>
          <w:szCs w:val="32"/>
          <w:shd w:val="clear" w:color="auto" w:fill="FFFFFF"/>
          <w:lang w:val="en-US" w:eastAsia="zh-CN" w:bidi="ar-SA"/>
        </w:rPr>
        <w:t>(一)强化政治领引，推动统一战线各项重大决策部署全面落实。</w:t>
      </w:r>
    </w:p>
    <w:p w14:paraId="5E8020CD"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rightChars="0" w:firstLine="640" w:firstLineChars="200"/>
        <w:textAlignment w:val="auto"/>
        <w:rPr>
          <w:rFonts w:hint="eastAsia" w:ascii="仿宋" w:hAnsi="仿宋" w:eastAsia="仿宋" w:cs="仿宋"/>
          <w:color w:val="333333"/>
          <w:kern w:val="2"/>
          <w:sz w:val="32"/>
          <w:szCs w:val="32"/>
          <w:shd w:val="clear" w:color="auto" w:fill="FFFFFF"/>
          <w:lang w:val="en-US" w:eastAsia="zh-CN" w:bidi="ar-SA"/>
        </w:rPr>
      </w:pPr>
      <w:r>
        <w:rPr>
          <w:rFonts w:hint="eastAsia" w:ascii="仿宋" w:hAnsi="仿宋" w:eastAsia="仿宋" w:cs="仿宋"/>
          <w:color w:val="333333"/>
          <w:kern w:val="2"/>
          <w:sz w:val="32"/>
          <w:szCs w:val="32"/>
          <w:shd w:val="clear" w:color="auto" w:fill="FFFFFF"/>
          <w:lang w:val="en-US" w:eastAsia="zh-CN" w:bidi="ar-SA"/>
        </w:rPr>
        <w:t>（二）推动和谐发展，民族宗教、对台侨联，非公党建工作有序开展。</w:t>
      </w:r>
    </w:p>
    <w:p w14:paraId="51738D1F"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rightChars="0" w:firstLine="640" w:firstLineChars="200"/>
        <w:textAlignment w:val="auto"/>
        <w:rPr>
          <w:rFonts w:hint="default" w:ascii="仿宋" w:hAnsi="仿宋" w:eastAsia="仿宋" w:cs="仿宋"/>
          <w:color w:val="333333"/>
          <w:kern w:val="2"/>
          <w:sz w:val="32"/>
          <w:szCs w:val="32"/>
          <w:shd w:val="clear" w:color="auto" w:fill="FFFFFF"/>
          <w:lang w:val="en-US" w:eastAsia="zh-CN" w:bidi="ar-SA"/>
        </w:rPr>
      </w:pPr>
      <w:r>
        <w:rPr>
          <w:rFonts w:hint="eastAsia" w:ascii="仿宋" w:hAnsi="仿宋" w:eastAsia="仿宋" w:cs="仿宋"/>
          <w:color w:val="333333"/>
          <w:kern w:val="2"/>
          <w:sz w:val="32"/>
          <w:szCs w:val="32"/>
          <w:shd w:val="clear" w:color="auto" w:fill="FFFFFF"/>
          <w:lang w:val="en-US" w:eastAsia="zh-CN" w:bidi="ar-SA"/>
        </w:rPr>
        <w:t xml:space="preserve">（三）加强多党合作，推动党外非干部事业繁荣发展。 </w:t>
      </w:r>
    </w:p>
    <w:p w14:paraId="5BBD1CC4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640" w:firstLineChars="200"/>
        <w:textAlignment w:val="auto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二、部门整体支出管理及使用情况</w:t>
      </w:r>
    </w:p>
    <w:p w14:paraId="11EC30BE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548" w:firstLineChars="200"/>
        <w:textAlignment w:val="auto"/>
        <w:rPr>
          <w:rFonts w:hint="eastAsia" w:ascii="楷体_GB2312" w:eastAsia="楷体_GB2312" w:cs="楷体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default" w:ascii="楷体_GB2312" w:hAnsi="Times New Roman" w:eastAsia="楷体_GB2312" w:cs="楷体_GB2312"/>
          <w:i w:val="0"/>
          <w:iCs w:val="0"/>
          <w:caps w:val="0"/>
          <w:color w:val="000000"/>
          <w:spacing w:val="-23"/>
          <w:sz w:val="32"/>
          <w:szCs w:val="32"/>
          <w:shd w:val="clear" w:color="auto" w:fill="FFFFFF"/>
        </w:rPr>
        <w:t>（一）</w:t>
      </w:r>
      <w:r>
        <w:rPr>
          <w:rFonts w:hint="eastAsia" w:ascii="楷体_GB2312" w:eastAsia="楷体_GB2312" w:cs="楷体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预算执行、使用、管理总体情况。</w:t>
      </w:r>
    </w:p>
    <w:p w14:paraId="05F50D42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textAlignment w:val="auto"/>
        <w:rPr>
          <w:rFonts w:hint="default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default" w:ascii="仿宋" w:hAnsi="仿宋" w:eastAsia="仿宋" w:cs="仿宋"/>
          <w:kern w:val="2"/>
          <w:sz w:val="32"/>
          <w:szCs w:val="32"/>
          <w:lang w:val="en-US" w:eastAsia="zh-CN" w:bidi="ar-SA"/>
        </w:rPr>
        <w:t>1、预算执行方面</w:t>
      </w:r>
    </w:p>
    <w:p w14:paraId="0FA5C8F4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textAlignment w:val="auto"/>
        <w:rPr>
          <w:rFonts w:hint="default" w:ascii="仿宋" w:hAnsi="仿宋" w:eastAsia="仿宋" w:cs="仿宋"/>
          <w:spacing w:val="-20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default" w:ascii="仿宋" w:hAnsi="仿宋" w:eastAsia="仿宋" w:cs="仿宋"/>
          <w:kern w:val="2"/>
          <w:sz w:val="32"/>
          <w:szCs w:val="32"/>
          <w:highlight w:val="none"/>
          <w:lang w:val="en-US" w:eastAsia="zh-CN" w:bidi="ar-SA"/>
        </w:rPr>
        <w:t>2023年年初预算数</w:t>
      </w:r>
      <w:r>
        <w:rPr>
          <w:rFonts w:hint="eastAsia" w:ascii="仿宋" w:hAnsi="仿宋" w:eastAsia="仿宋" w:cs="仿宋"/>
          <w:kern w:val="2"/>
          <w:sz w:val="32"/>
          <w:szCs w:val="32"/>
          <w:highlight w:val="none"/>
          <w:lang w:val="en-US" w:eastAsia="zh-CN" w:bidi="ar-SA"/>
        </w:rPr>
        <w:t>227.88</w:t>
      </w:r>
      <w:r>
        <w:rPr>
          <w:rFonts w:hint="default" w:ascii="仿宋" w:hAnsi="仿宋" w:eastAsia="仿宋" w:cs="仿宋"/>
          <w:kern w:val="2"/>
          <w:sz w:val="32"/>
          <w:szCs w:val="32"/>
          <w:highlight w:val="none"/>
          <w:lang w:val="en-US" w:eastAsia="zh-CN" w:bidi="ar-SA"/>
        </w:rPr>
        <w:t>万元，全年预算数</w:t>
      </w:r>
      <w:r>
        <w:rPr>
          <w:rFonts w:hint="eastAsia" w:ascii="仿宋" w:hAnsi="仿宋" w:eastAsia="仿宋" w:cs="仿宋"/>
          <w:kern w:val="2"/>
          <w:sz w:val="32"/>
          <w:szCs w:val="32"/>
          <w:highlight w:val="none"/>
          <w:lang w:val="en-US" w:eastAsia="zh-CN" w:bidi="ar-SA"/>
        </w:rPr>
        <w:t>371.49</w:t>
      </w:r>
      <w:r>
        <w:rPr>
          <w:rFonts w:hint="default" w:ascii="仿宋" w:hAnsi="仿宋" w:eastAsia="仿宋" w:cs="仿宋"/>
          <w:kern w:val="2"/>
          <w:sz w:val="32"/>
          <w:szCs w:val="32"/>
          <w:highlight w:val="none"/>
          <w:lang w:val="en-US" w:eastAsia="zh-CN" w:bidi="ar-SA"/>
        </w:rPr>
        <w:t>万元，全年执行数</w:t>
      </w:r>
      <w:r>
        <w:rPr>
          <w:rFonts w:hint="eastAsia" w:ascii="仿宋" w:hAnsi="仿宋" w:eastAsia="仿宋" w:cs="仿宋"/>
          <w:kern w:val="2"/>
          <w:sz w:val="32"/>
          <w:szCs w:val="32"/>
          <w:highlight w:val="none"/>
          <w:lang w:val="en-US" w:eastAsia="zh-CN" w:bidi="ar-SA"/>
        </w:rPr>
        <w:t>371.49</w:t>
      </w:r>
      <w:r>
        <w:rPr>
          <w:rFonts w:hint="default" w:ascii="仿宋" w:hAnsi="仿宋" w:eastAsia="仿宋" w:cs="仿宋"/>
          <w:kern w:val="2"/>
          <w:sz w:val="32"/>
          <w:szCs w:val="32"/>
          <w:highlight w:val="none"/>
          <w:lang w:val="en-US" w:eastAsia="zh-CN" w:bidi="ar-SA"/>
        </w:rPr>
        <w:t>万元，执行率</w:t>
      </w:r>
      <w:r>
        <w:rPr>
          <w:rFonts w:hint="eastAsia" w:ascii="仿宋" w:hAnsi="仿宋" w:eastAsia="仿宋" w:cs="仿宋"/>
          <w:kern w:val="2"/>
          <w:sz w:val="32"/>
          <w:szCs w:val="32"/>
          <w:highlight w:val="none"/>
          <w:lang w:val="en-US" w:eastAsia="zh-CN" w:bidi="ar-SA"/>
        </w:rPr>
        <w:t>100</w:t>
      </w:r>
      <w:r>
        <w:rPr>
          <w:rFonts w:hint="default" w:ascii="仿宋" w:hAnsi="仿宋" w:eastAsia="仿宋" w:cs="仿宋"/>
          <w:kern w:val="2"/>
          <w:sz w:val="32"/>
          <w:szCs w:val="32"/>
          <w:highlight w:val="none"/>
          <w:lang w:val="en-US" w:eastAsia="zh-CN" w:bidi="ar-SA"/>
        </w:rPr>
        <w:t>%，</w:t>
      </w:r>
      <w:r>
        <w:rPr>
          <w:rFonts w:hint="default" w:ascii="仿宋" w:hAnsi="仿宋" w:eastAsia="仿宋" w:cs="仿宋"/>
          <w:spacing w:val="-20"/>
          <w:kern w:val="2"/>
          <w:sz w:val="32"/>
          <w:szCs w:val="32"/>
          <w:highlight w:val="none"/>
          <w:lang w:val="en-US" w:eastAsia="zh-CN" w:bidi="ar-SA"/>
        </w:rPr>
        <w:t>预算执行控制好。</w:t>
      </w:r>
    </w:p>
    <w:p w14:paraId="78F5F2D9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320" w:firstLineChars="100"/>
        <w:textAlignment w:val="auto"/>
        <w:rPr>
          <w:rFonts w:hint="default" w:ascii="仿宋" w:hAnsi="仿宋" w:eastAsia="仿宋" w:cs="仿宋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default" w:ascii="仿宋" w:hAnsi="仿宋" w:eastAsia="仿宋" w:cs="仿宋"/>
          <w:kern w:val="2"/>
          <w:sz w:val="32"/>
          <w:szCs w:val="32"/>
          <w:highlight w:val="none"/>
          <w:lang w:val="en-US" w:eastAsia="zh-CN" w:bidi="ar-SA"/>
        </w:rPr>
        <w:t>　2、预算管理方面</w:t>
      </w:r>
    </w:p>
    <w:p w14:paraId="4BCB409A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textAlignment w:val="auto"/>
        <w:rPr>
          <w:rFonts w:hint="default" w:ascii="仿宋" w:hAnsi="仿宋" w:eastAsia="仿宋" w:cs="仿宋"/>
          <w:spacing w:val="-20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default" w:ascii="仿宋" w:hAnsi="仿宋" w:eastAsia="仿宋" w:cs="仿宋"/>
          <w:kern w:val="2"/>
          <w:sz w:val="32"/>
          <w:szCs w:val="32"/>
          <w:highlight w:val="none"/>
          <w:lang w:val="en-US" w:eastAsia="zh-CN" w:bidi="ar-SA"/>
        </w:rPr>
        <w:t>经费控制率：2023年我局预算管理各项指标控制较好，2023年年初预算</w:t>
      </w:r>
      <w:r>
        <w:rPr>
          <w:rFonts w:hint="eastAsia" w:ascii="仿宋" w:hAnsi="仿宋" w:eastAsia="仿宋" w:cs="仿宋"/>
          <w:kern w:val="2"/>
          <w:sz w:val="32"/>
          <w:szCs w:val="32"/>
          <w:highlight w:val="none"/>
          <w:lang w:val="en-US" w:eastAsia="zh-CN" w:bidi="ar-SA"/>
        </w:rPr>
        <w:t>227.88</w:t>
      </w:r>
      <w:r>
        <w:rPr>
          <w:rFonts w:hint="default" w:ascii="仿宋" w:hAnsi="仿宋" w:eastAsia="仿宋" w:cs="仿宋"/>
          <w:kern w:val="2"/>
          <w:sz w:val="32"/>
          <w:szCs w:val="32"/>
          <w:highlight w:val="none"/>
          <w:lang w:val="en-US" w:eastAsia="zh-CN" w:bidi="ar-SA"/>
        </w:rPr>
        <w:t>万元，全年预算数</w:t>
      </w:r>
      <w:r>
        <w:rPr>
          <w:rFonts w:hint="eastAsia" w:ascii="仿宋" w:hAnsi="仿宋" w:eastAsia="仿宋" w:cs="仿宋"/>
          <w:kern w:val="2"/>
          <w:sz w:val="32"/>
          <w:szCs w:val="32"/>
          <w:highlight w:val="none"/>
          <w:lang w:val="en-US" w:eastAsia="zh-CN" w:bidi="ar-SA"/>
        </w:rPr>
        <w:t>371.49</w:t>
      </w:r>
      <w:r>
        <w:rPr>
          <w:rFonts w:hint="default" w:ascii="仿宋" w:hAnsi="仿宋" w:eastAsia="仿宋" w:cs="仿宋"/>
          <w:kern w:val="2"/>
          <w:sz w:val="32"/>
          <w:szCs w:val="32"/>
          <w:highlight w:val="none"/>
          <w:lang w:val="en-US" w:eastAsia="zh-CN" w:bidi="ar-SA"/>
        </w:rPr>
        <w:t>万元，一般公共预算财政拨款收入</w:t>
      </w:r>
      <w:r>
        <w:rPr>
          <w:rFonts w:hint="eastAsia" w:ascii="仿宋" w:hAnsi="仿宋" w:eastAsia="仿宋" w:cs="仿宋"/>
          <w:kern w:val="2"/>
          <w:sz w:val="32"/>
          <w:szCs w:val="32"/>
          <w:highlight w:val="none"/>
          <w:lang w:val="en-US" w:eastAsia="zh-CN" w:bidi="ar-SA"/>
        </w:rPr>
        <w:t>358.51</w:t>
      </w:r>
      <w:r>
        <w:rPr>
          <w:rFonts w:hint="default" w:ascii="仿宋" w:hAnsi="仿宋" w:eastAsia="仿宋" w:cs="仿宋"/>
          <w:kern w:val="2"/>
          <w:sz w:val="32"/>
          <w:szCs w:val="32"/>
          <w:highlight w:val="none"/>
          <w:lang w:val="en-US" w:eastAsia="zh-CN" w:bidi="ar-SA"/>
        </w:rPr>
        <w:t>万元、</w:t>
      </w:r>
      <w:r>
        <w:rPr>
          <w:rFonts w:hint="eastAsia" w:ascii="仿宋" w:hAnsi="仿宋" w:eastAsia="仿宋" w:cs="仿宋"/>
          <w:kern w:val="2"/>
          <w:sz w:val="32"/>
          <w:szCs w:val="32"/>
          <w:highlight w:val="none"/>
          <w:lang w:val="en-US" w:eastAsia="zh-CN" w:bidi="ar-SA"/>
        </w:rPr>
        <w:t>政府性基金预算财政拨款收入5万元、</w:t>
      </w:r>
      <w:r>
        <w:rPr>
          <w:rFonts w:hint="default" w:ascii="仿宋" w:hAnsi="仿宋" w:eastAsia="仿宋" w:cs="仿宋"/>
          <w:kern w:val="2"/>
          <w:sz w:val="32"/>
          <w:szCs w:val="32"/>
          <w:highlight w:val="none"/>
          <w:lang w:val="en-US" w:eastAsia="zh-CN" w:bidi="ar-SA"/>
        </w:rPr>
        <w:t>其他收入</w:t>
      </w:r>
      <w:r>
        <w:rPr>
          <w:rFonts w:hint="eastAsia" w:ascii="仿宋" w:hAnsi="仿宋" w:eastAsia="仿宋" w:cs="仿宋"/>
          <w:kern w:val="2"/>
          <w:sz w:val="32"/>
          <w:szCs w:val="32"/>
          <w:highlight w:val="none"/>
          <w:lang w:val="en-US" w:eastAsia="zh-CN" w:bidi="ar-SA"/>
        </w:rPr>
        <w:t>7.98</w:t>
      </w:r>
      <w:r>
        <w:rPr>
          <w:rFonts w:hint="default" w:ascii="仿宋" w:hAnsi="仿宋" w:eastAsia="仿宋" w:cs="仿宋"/>
          <w:kern w:val="2"/>
          <w:sz w:val="32"/>
          <w:szCs w:val="32"/>
          <w:highlight w:val="none"/>
          <w:lang w:val="en-US" w:eastAsia="zh-CN" w:bidi="ar-SA"/>
        </w:rPr>
        <w:t>万元。全年支出数371.49万元，</w:t>
      </w:r>
      <w:r>
        <w:rPr>
          <w:rFonts w:hint="default" w:ascii="仿宋" w:hAnsi="仿宋" w:eastAsia="仿宋" w:cs="仿宋"/>
          <w:spacing w:val="-20"/>
          <w:kern w:val="2"/>
          <w:sz w:val="32"/>
          <w:szCs w:val="32"/>
          <w:highlight w:val="none"/>
          <w:lang w:val="en-US" w:eastAsia="zh-CN" w:bidi="ar-SA"/>
        </w:rPr>
        <w:t>经费控制率</w:t>
      </w:r>
      <w:r>
        <w:rPr>
          <w:rFonts w:hint="eastAsia" w:ascii="仿宋" w:hAnsi="仿宋" w:eastAsia="仿宋" w:cs="仿宋"/>
          <w:spacing w:val="-20"/>
          <w:kern w:val="2"/>
          <w:sz w:val="32"/>
          <w:szCs w:val="32"/>
          <w:highlight w:val="none"/>
          <w:lang w:val="en-US" w:eastAsia="zh-CN" w:bidi="ar-SA"/>
        </w:rPr>
        <w:t>100</w:t>
      </w:r>
      <w:r>
        <w:rPr>
          <w:rFonts w:hint="default" w:ascii="仿宋" w:hAnsi="仿宋" w:eastAsia="仿宋" w:cs="仿宋"/>
          <w:spacing w:val="-20"/>
          <w:kern w:val="2"/>
          <w:sz w:val="32"/>
          <w:szCs w:val="32"/>
          <w:highlight w:val="none"/>
          <w:lang w:val="en-US" w:eastAsia="zh-CN" w:bidi="ar-SA"/>
        </w:rPr>
        <w:t>%，经费控制率较好。</w:t>
      </w:r>
    </w:p>
    <w:p w14:paraId="3F79A626">
      <w:pPr>
        <w:pStyle w:val="5"/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560" w:firstLineChars="200"/>
        <w:textAlignment w:val="auto"/>
        <w:rPr>
          <w:rFonts w:hint="eastAsia" w:ascii="仿宋" w:hAnsi="仿宋" w:eastAsia="仿宋" w:cs="仿宋"/>
          <w:spacing w:val="-20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spacing w:val="-20"/>
          <w:kern w:val="2"/>
          <w:sz w:val="32"/>
          <w:szCs w:val="32"/>
          <w:highlight w:val="none"/>
          <w:lang w:val="en-US" w:eastAsia="zh-CN" w:bidi="ar-SA"/>
        </w:rPr>
        <w:t>预算资金管理方面</w:t>
      </w:r>
    </w:p>
    <w:p w14:paraId="47A781ED"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Chars="200" w:right="0" w:rightChars="0"/>
        <w:textAlignment w:val="auto"/>
        <w:rPr>
          <w:rFonts w:hint="eastAsia" w:ascii="仿宋" w:hAnsi="仿宋" w:eastAsia="仿宋" w:cs="仿宋"/>
          <w:spacing w:val="-20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spacing w:val="-20"/>
          <w:kern w:val="2"/>
          <w:sz w:val="32"/>
          <w:szCs w:val="32"/>
          <w:highlight w:val="none"/>
          <w:lang w:val="en-US" w:eastAsia="zh-CN" w:bidi="ar-SA"/>
        </w:rPr>
        <w:t xml:space="preserve"> （1）加强制度建设</w:t>
      </w:r>
    </w:p>
    <w:p w14:paraId="59F89F89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textAlignment w:val="auto"/>
        <w:rPr>
          <w:rFonts w:hint="eastAsia" w:ascii="仿宋" w:hAnsi="仿宋" w:eastAsia="仿宋" w:cs="仿宋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32"/>
          <w:highlight w:val="none"/>
          <w:lang w:val="en-US" w:eastAsia="zh-CN" w:bidi="ar-SA"/>
        </w:rPr>
        <w:t>我单位根据上级相关政策和本所实际情况严格遵守《会计法》和财经纪律，合理安排预算，建立和完善财务制度，严格按照专项资金的使用范围、禁止事项、管理和监督事项开展落实，坚持用制度规范专项资金的管理使用。</w:t>
      </w:r>
    </w:p>
    <w:p w14:paraId="53F96755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textAlignment w:val="auto"/>
        <w:rPr>
          <w:rFonts w:hint="eastAsia" w:ascii="仿宋" w:hAnsi="仿宋" w:eastAsia="仿宋" w:cs="仿宋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32"/>
          <w:highlight w:val="none"/>
          <w:lang w:val="en-US" w:eastAsia="zh-CN" w:bidi="ar-SA"/>
        </w:rPr>
        <w:t>（2）专款专用管理</w:t>
      </w:r>
    </w:p>
    <w:p w14:paraId="59F8BB62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textAlignment w:val="auto"/>
        <w:rPr>
          <w:rFonts w:hint="eastAsia" w:ascii="仿宋" w:hAnsi="仿宋" w:eastAsia="仿宋" w:cs="仿宋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32"/>
          <w:highlight w:val="none"/>
          <w:lang w:val="en-US" w:eastAsia="zh-CN" w:bidi="ar-SA"/>
        </w:rPr>
        <w:t>在资金管理使用上，我单位严格按照各项专项资金使用用途安排该专项资金的支出使用，严格遵守“专款专用”原则，严格落实专项资金的申拨、使用审批手续，充分发挥资</w:t>
      </w:r>
    </w:p>
    <w:p w14:paraId="7F61B2B1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/>
        <w:textAlignment w:val="auto"/>
        <w:rPr>
          <w:rFonts w:hint="eastAsia" w:ascii="仿宋" w:hAnsi="仿宋" w:eastAsia="仿宋" w:cs="仿宋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32"/>
          <w:highlight w:val="none"/>
          <w:lang w:val="en-US" w:eastAsia="zh-CN" w:bidi="ar-SA"/>
        </w:rPr>
        <w:t>金使用效益。</w:t>
      </w:r>
    </w:p>
    <w:p w14:paraId="6F41414A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textAlignment w:val="auto"/>
        <w:rPr>
          <w:rFonts w:hint="eastAsia" w:ascii="仿宋" w:hAnsi="仿宋" w:eastAsia="仿宋" w:cs="仿宋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32"/>
          <w:highlight w:val="none"/>
          <w:lang w:val="en-US" w:eastAsia="zh-CN" w:bidi="ar-SA"/>
        </w:rPr>
        <w:t>（3）会计独立核算</w:t>
      </w:r>
    </w:p>
    <w:p w14:paraId="185DE1D4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textAlignment w:val="auto"/>
        <w:rPr>
          <w:rFonts w:hint="eastAsia" w:ascii="仿宋" w:hAnsi="仿宋" w:eastAsia="仿宋" w:cs="仿宋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32"/>
          <w:highlight w:val="none"/>
          <w:lang w:val="en-US" w:eastAsia="zh-CN" w:bidi="ar-SA"/>
        </w:rPr>
        <w:t>在会计核算上，严格实行单独核算，单独设置会计科目进行记账管理。</w:t>
      </w:r>
    </w:p>
    <w:p w14:paraId="46F87D68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textAlignment w:val="auto"/>
        <w:rPr>
          <w:rFonts w:hint="eastAsia" w:ascii="仿宋" w:hAnsi="仿宋" w:eastAsia="仿宋" w:cs="仿宋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32"/>
          <w:highlight w:val="none"/>
          <w:lang w:val="en-US" w:eastAsia="zh-CN" w:bidi="ar-SA"/>
        </w:rPr>
        <w:t>（4）加强内外监督</w:t>
      </w:r>
    </w:p>
    <w:p w14:paraId="7C32ED7D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textAlignment w:val="auto"/>
        <w:rPr>
          <w:rFonts w:hint="eastAsia" w:ascii="仿宋" w:hAnsi="仿宋" w:eastAsia="仿宋" w:cs="仿宋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32"/>
          <w:highlight w:val="none"/>
          <w:lang w:val="en-US" w:eastAsia="zh-CN" w:bidi="ar-SA"/>
        </w:rPr>
        <w:t>按照上级部门文件要求，按时填报相关资金情况报表，积极接受上级部门监督。</w:t>
      </w:r>
    </w:p>
    <w:p w14:paraId="1C0C46BF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548" w:firstLineChars="200"/>
        <w:textAlignment w:val="auto"/>
        <w:rPr>
          <w:rFonts w:hint="default" w:ascii="楷体_GB2312" w:eastAsia="楷体_GB2312" w:cs="楷体_GB2312"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Fonts w:hint="default" w:ascii="楷体_GB2312" w:hAnsi="Times New Roman" w:eastAsia="楷体_GB2312" w:cs="楷体_GB2312"/>
          <w:i w:val="0"/>
          <w:iCs w:val="0"/>
          <w:caps w:val="0"/>
          <w:color w:val="000000"/>
          <w:spacing w:val="-23"/>
          <w:sz w:val="32"/>
          <w:szCs w:val="32"/>
          <w:shd w:val="clear" w:color="auto" w:fill="FFFFFF"/>
        </w:rPr>
        <w:t>（二）</w:t>
      </w:r>
      <w:r>
        <w:rPr>
          <w:rFonts w:hint="default" w:ascii="楷体_GB2312" w:eastAsia="楷体_GB2312" w:cs="楷体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部门预算执行情况</w:t>
      </w:r>
    </w:p>
    <w:p w14:paraId="029E8779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textAlignment w:val="auto"/>
        <w:rPr>
          <w:rFonts w:hint="default" w:asci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default" w:asci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1.基本支出情况</w:t>
      </w:r>
    </w:p>
    <w:p w14:paraId="0127B4A9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textAlignment w:val="auto"/>
        <w:rPr>
          <w:rFonts w:hint="default" w:ascii="仿宋" w:hAnsi="仿宋" w:eastAsia="仿宋" w:cs="仿宋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default" w:ascii="仿宋" w:hAnsi="仿宋" w:eastAsia="仿宋" w:cs="仿宋"/>
          <w:kern w:val="2"/>
          <w:sz w:val="32"/>
          <w:szCs w:val="32"/>
          <w:highlight w:val="none"/>
          <w:lang w:val="en-US" w:eastAsia="zh-CN" w:bidi="ar-SA"/>
        </w:rPr>
        <w:t>基本支出主要是保障机构正常运转、完成日常工作任务而发生的各项支出，包括在职人员工资福利支出、三公经费、水电、办公经费等商品和服务支出。2023</w:t>
      </w:r>
      <w:r>
        <w:rPr>
          <w:rFonts w:hint="eastAsia" w:ascii="仿宋" w:hAnsi="仿宋" w:eastAsia="仿宋" w:cs="仿宋"/>
          <w:kern w:val="2"/>
          <w:sz w:val="32"/>
          <w:szCs w:val="32"/>
          <w:highlight w:val="none"/>
          <w:lang w:val="en-US" w:eastAsia="zh-CN" w:bidi="ar-SA"/>
        </w:rPr>
        <w:t>年本部门预算基本支出246.52万元，</w:t>
      </w:r>
      <w:bookmarkStart w:id="0" w:name="OLE_LINK4"/>
      <w:r>
        <w:rPr>
          <w:rFonts w:hint="eastAsia" w:ascii="仿宋" w:hAnsi="仿宋" w:eastAsia="仿宋" w:cs="仿宋"/>
          <w:kern w:val="2"/>
          <w:sz w:val="32"/>
          <w:szCs w:val="32"/>
          <w:highlight w:val="none"/>
          <w:lang w:val="en-US" w:eastAsia="zh-CN" w:bidi="ar-SA"/>
        </w:rPr>
        <w:t>占全年预算支出的66.36%</w:t>
      </w:r>
      <w:bookmarkEnd w:id="0"/>
      <w:r>
        <w:rPr>
          <w:rFonts w:hint="eastAsia" w:ascii="仿宋" w:hAnsi="仿宋" w:eastAsia="仿宋" w:cs="仿宋"/>
          <w:kern w:val="2"/>
          <w:sz w:val="32"/>
          <w:szCs w:val="32"/>
          <w:highlight w:val="none"/>
          <w:lang w:val="en-US" w:eastAsia="zh-CN" w:bidi="ar-SA"/>
        </w:rPr>
        <w:t>，其中：人员经费支出201.44万元；公用经费支出45.08万元。</w:t>
      </w:r>
    </w:p>
    <w:p w14:paraId="63F7A8C5">
      <w:pPr>
        <w:pStyle w:val="5"/>
        <w:keepNext w:val="0"/>
        <w:keepLines w:val="0"/>
        <w:pageBreakBefore w:val="0"/>
        <w:widowControl/>
        <w:numPr>
          <w:ilvl w:val="0"/>
          <w:numId w:val="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textAlignment w:val="auto"/>
        <w:rPr>
          <w:rFonts w:hint="default" w:asci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default" w:asci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项目支出情况</w:t>
      </w:r>
    </w:p>
    <w:p w14:paraId="3CAF0B8D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textAlignment w:val="auto"/>
        <w:rPr>
          <w:rFonts w:hint="eastAsia" w:ascii="仿宋" w:hAnsi="仿宋" w:eastAsia="仿宋" w:cs="仿宋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32"/>
          <w:highlight w:val="none"/>
          <w:lang w:val="en-US" w:eastAsia="zh-CN" w:bidi="ar-SA"/>
        </w:rPr>
        <w:t>2023年项目支出实际完成124.97万元，占全年预算支出的33.64%，其中：</w:t>
      </w:r>
    </w:p>
    <w:p w14:paraId="28D03F90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3" w:firstLineChars="200"/>
        <w:textAlignment w:val="auto"/>
        <w:rPr>
          <w:rFonts w:hint="eastAsia" w:ascii="仿宋" w:hAnsi="仿宋" w:eastAsia="仿宋" w:cs="仿宋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kern w:val="2"/>
          <w:sz w:val="32"/>
          <w:szCs w:val="32"/>
          <w:highlight w:val="none"/>
          <w:lang w:val="en-US" w:eastAsia="zh-CN" w:bidi="ar-SA"/>
        </w:rPr>
        <w:t>（1）</w:t>
      </w:r>
      <w:r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highlight w:val="none"/>
          <w:lang w:val="en-US" w:eastAsia="zh-CN" w:bidi="ar-SA"/>
        </w:rPr>
        <w:t>县本级年初预算安排的项目</w:t>
      </w:r>
      <w:r>
        <w:rPr>
          <w:rFonts w:hint="eastAsia" w:ascii="仿宋" w:hAnsi="仿宋" w:eastAsia="仿宋" w:cs="仿宋"/>
          <w:kern w:val="2"/>
          <w:sz w:val="32"/>
          <w:szCs w:val="32"/>
          <w:highlight w:val="none"/>
          <w:lang w:val="en-US" w:eastAsia="zh-CN" w:bidi="ar-SA"/>
        </w:rPr>
        <w:t>，预算到位</w:t>
      </w:r>
      <w:bookmarkStart w:id="1" w:name="OLE_LINK3"/>
      <w:r>
        <w:rPr>
          <w:rFonts w:hint="eastAsia" w:ascii="仿宋" w:hAnsi="仿宋" w:eastAsia="仿宋" w:cs="仿宋"/>
          <w:kern w:val="2"/>
          <w:sz w:val="32"/>
          <w:szCs w:val="32"/>
          <w:highlight w:val="none"/>
          <w:lang w:val="en-US" w:eastAsia="zh-CN" w:bidi="ar-SA"/>
        </w:rPr>
        <w:t>31.7</w:t>
      </w:r>
      <w:bookmarkEnd w:id="1"/>
      <w:r>
        <w:rPr>
          <w:rFonts w:hint="eastAsia" w:ascii="仿宋" w:hAnsi="仿宋" w:eastAsia="仿宋" w:cs="仿宋"/>
          <w:kern w:val="2"/>
          <w:sz w:val="32"/>
          <w:szCs w:val="32"/>
          <w:highlight w:val="none"/>
          <w:lang w:val="en-US" w:eastAsia="zh-CN" w:bidi="ar-SA"/>
        </w:rPr>
        <w:t>万元，具体项目明细如下：</w:t>
      </w:r>
    </w:p>
    <w:p w14:paraId="06239EDC">
      <w:pPr>
        <w:spacing w:line="560" w:lineRule="exact"/>
        <w:ind w:firstLine="640" w:firstLineChars="200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微软雅黑" w:hAnsi="微软雅黑" w:eastAsia="微软雅黑" w:cs="微软雅黑"/>
          <w:sz w:val="32"/>
          <w:szCs w:val="32"/>
          <w:lang w:val="en-US" w:eastAsia="zh-CN"/>
        </w:rPr>
        <w:t>①</w:t>
      </w:r>
      <w:r>
        <w:rPr>
          <w:rFonts w:hint="eastAsia" w:ascii="仿宋_GB2312" w:eastAsia="仿宋_GB2312"/>
          <w:sz w:val="32"/>
          <w:szCs w:val="32"/>
        </w:rPr>
        <w:t>党外知识分子联谊会工作经费</w:t>
      </w:r>
      <w:r>
        <w:rPr>
          <w:rFonts w:hint="eastAsia" w:ascii="仿宋_GB2312" w:eastAsia="仿宋_GB2312"/>
          <w:sz w:val="32"/>
          <w:szCs w:val="32"/>
          <w:lang w:eastAsia="zh-CN"/>
        </w:rPr>
        <w:t>预算安排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1.9</w:t>
      </w:r>
      <w:r>
        <w:rPr>
          <w:rFonts w:hint="eastAsia" w:ascii="仿宋_GB2312" w:eastAsia="仿宋_GB2312"/>
          <w:sz w:val="32"/>
          <w:szCs w:val="32"/>
        </w:rPr>
        <w:t>万元</w:t>
      </w:r>
      <w:r>
        <w:rPr>
          <w:rFonts w:hint="eastAsia" w:ascii="仿宋_GB2312" w:eastAsia="仿宋_GB2312"/>
          <w:sz w:val="32"/>
          <w:szCs w:val="32"/>
          <w:lang w:eastAsia="zh-CN"/>
        </w:rPr>
        <w:t>，</w:t>
      </w:r>
      <w:r>
        <w:rPr>
          <w:rFonts w:hint="eastAsia" w:ascii="仿宋" w:hAnsi="仿宋" w:eastAsia="仿宋"/>
          <w:sz w:val="32"/>
          <w:szCs w:val="32"/>
        </w:rPr>
        <w:t>主要用于开展党全县党外知识分子联谊会的各项工作</w:t>
      </w:r>
      <w:r>
        <w:rPr>
          <w:rFonts w:hint="eastAsia" w:ascii="仿宋" w:hAnsi="仿宋" w:eastAsia="仿宋"/>
          <w:sz w:val="32"/>
          <w:szCs w:val="32"/>
          <w:lang w:eastAsia="zh-CN"/>
        </w:rPr>
        <w:t>。</w:t>
      </w:r>
    </w:p>
    <w:p w14:paraId="4EDDFF22">
      <w:pPr>
        <w:ind w:firstLine="640" w:firstLineChars="200"/>
        <w:rPr>
          <w:rFonts w:ascii="仿宋_GB2312" w:eastAsia="仿宋"/>
          <w:sz w:val="32"/>
          <w:szCs w:val="32"/>
        </w:rPr>
      </w:pPr>
      <w:r>
        <w:rPr>
          <w:rFonts w:hint="eastAsia" w:ascii="微软雅黑" w:hAnsi="微软雅黑" w:eastAsia="微软雅黑" w:cs="微软雅黑"/>
          <w:sz w:val="32"/>
          <w:szCs w:val="32"/>
          <w:lang w:val="en-US" w:eastAsia="zh-CN"/>
        </w:rPr>
        <w:t>②</w:t>
      </w:r>
      <w:r>
        <w:rPr>
          <w:rFonts w:hint="eastAsia" w:ascii="仿宋_GB2312" w:eastAsia="仿宋_GB2312"/>
          <w:sz w:val="32"/>
          <w:szCs w:val="32"/>
        </w:rPr>
        <w:t>新社会阶层人士及侨务工作经费工作经费</w:t>
      </w:r>
      <w:bookmarkStart w:id="2" w:name="OLE_LINK2"/>
      <w:r>
        <w:rPr>
          <w:rFonts w:hint="eastAsia" w:ascii="仿宋_GB2312" w:eastAsia="仿宋_GB2312"/>
          <w:sz w:val="32"/>
          <w:szCs w:val="32"/>
        </w:rPr>
        <w:t>预算安排</w:t>
      </w:r>
      <w:bookmarkEnd w:id="2"/>
      <w:r>
        <w:rPr>
          <w:rFonts w:hint="eastAsia" w:ascii="仿宋_GB2312" w:eastAsia="仿宋_GB2312"/>
          <w:sz w:val="32"/>
          <w:szCs w:val="32"/>
        </w:rPr>
        <w:t>3.2万元</w:t>
      </w:r>
      <w:r>
        <w:rPr>
          <w:rFonts w:hint="eastAsia" w:ascii="仿宋_GB2312" w:eastAsia="仿宋_GB2312"/>
          <w:sz w:val="32"/>
          <w:szCs w:val="32"/>
          <w:lang w:eastAsia="zh-CN"/>
        </w:rPr>
        <w:t>，主要用于新的社会阶层人士统战工作调研报告，充分发挥其作用</w:t>
      </w:r>
      <w:r>
        <w:rPr>
          <w:rFonts w:hint="eastAsia" w:ascii="仿宋" w:hAnsi="仿宋" w:eastAsia="仿宋"/>
          <w:sz w:val="32"/>
          <w:szCs w:val="32"/>
        </w:rPr>
        <w:t>。</w:t>
      </w:r>
    </w:p>
    <w:p w14:paraId="39ED267B"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  <w:highlight w:val="none"/>
        </w:rPr>
      </w:pPr>
      <w:r>
        <w:rPr>
          <w:rFonts w:hint="eastAsia" w:ascii="微软雅黑" w:hAnsi="微软雅黑" w:eastAsia="微软雅黑" w:cs="微软雅黑"/>
          <w:sz w:val="32"/>
          <w:szCs w:val="32"/>
          <w:lang w:val="en-US" w:eastAsia="zh-CN"/>
        </w:rPr>
        <w:t>③</w:t>
      </w:r>
      <w:r>
        <w:rPr>
          <w:rFonts w:hint="eastAsia" w:ascii="仿宋_GB2312" w:eastAsia="仿宋_GB2312"/>
          <w:sz w:val="32"/>
          <w:szCs w:val="32"/>
        </w:rPr>
        <w:t>港澳同胞及其眷属走访慰问经</w:t>
      </w:r>
      <w:r>
        <w:rPr>
          <w:rFonts w:hint="eastAsia" w:ascii="仿宋_GB2312" w:eastAsia="仿宋_GB2312"/>
          <w:sz w:val="32"/>
          <w:szCs w:val="32"/>
          <w:highlight w:val="none"/>
        </w:rPr>
        <w:t>费预算安排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1.6</w:t>
      </w:r>
      <w:r>
        <w:rPr>
          <w:rFonts w:hint="eastAsia" w:ascii="仿宋_GB2312" w:eastAsia="仿宋_GB2312"/>
          <w:sz w:val="32"/>
          <w:szCs w:val="32"/>
          <w:highlight w:val="none"/>
        </w:rPr>
        <w:t>万元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  <w:highlight w:val="none"/>
        </w:rPr>
        <w:t>主要用于港澳同胞及其眷属传统佳节走访慰问。</w:t>
      </w:r>
    </w:p>
    <w:p w14:paraId="46F2BB15"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  <w:highlight w:val="none"/>
        </w:rPr>
      </w:pPr>
      <w:r>
        <w:rPr>
          <w:rFonts w:hint="eastAsia" w:ascii="微软雅黑" w:hAnsi="微软雅黑" w:eastAsia="微软雅黑" w:cs="微软雅黑"/>
          <w:sz w:val="32"/>
          <w:szCs w:val="32"/>
          <w:lang w:val="en-US" w:eastAsia="zh-CN"/>
        </w:rPr>
        <w:t>④</w:t>
      </w:r>
      <w:r>
        <w:rPr>
          <w:rFonts w:hint="eastAsia" w:ascii="仿宋_GB2312" w:eastAsia="仿宋_GB2312"/>
          <w:sz w:val="32"/>
          <w:szCs w:val="32"/>
          <w:highlight w:val="none"/>
        </w:rPr>
        <w:t>海联会工作经费预算安排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2.6</w:t>
      </w:r>
      <w:r>
        <w:rPr>
          <w:rFonts w:hint="eastAsia" w:ascii="仿宋_GB2312" w:eastAsia="仿宋_GB2312"/>
          <w:sz w:val="32"/>
          <w:szCs w:val="32"/>
          <w:highlight w:val="none"/>
        </w:rPr>
        <w:t>万元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  <w:highlight w:val="none"/>
        </w:rPr>
        <w:t>主要用于</w:t>
      </w:r>
      <w:r>
        <w:rPr>
          <w:rFonts w:hint="eastAsia" w:ascii="仿宋" w:hAnsi="仿宋" w:eastAsia="仿宋"/>
          <w:sz w:val="32"/>
          <w:szCs w:val="32"/>
          <w:highlight w:val="none"/>
        </w:rPr>
        <w:t>对外招商工作经费</w:t>
      </w:r>
      <w:r>
        <w:rPr>
          <w:rFonts w:hint="eastAsia" w:ascii="仿宋_GB2312" w:eastAsia="仿宋_GB2312"/>
          <w:sz w:val="32"/>
          <w:szCs w:val="32"/>
          <w:highlight w:val="none"/>
        </w:rPr>
        <w:t>。</w:t>
      </w:r>
    </w:p>
    <w:p w14:paraId="1AFE8B80"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微软雅黑" w:hAnsi="微软雅黑" w:eastAsia="微软雅黑" w:cs="微软雅黑"/>
          <w:sz w:val="32"/>
          <w:szCs w:val="32"/>
          <w:lang w:val="en-US" w:eastAsia="zh-CN"/>
        </w:rPr>
        <w:t>⑤</w:t>
      </w:r>
      <w:r>
        <w:rPr>
          <w:rFonts w:hint="eastAsia" w:ascii="仿宋_GB2312" w:eastAsia="仿宋_GB2312"/>
          <w:sz w:val="32"/>
          <w:szCs w:val="32"/>
        </w:rPr>
        <w:t>华侨、眷属走访慰问经费预算安排1.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万元</w:t>
      </w:r>
      <w:r>
        <w:rPr>
          <w:rFonts w:hint="eastAsia" w:ascii="仿宋_GB2312" w:eastAsia="仿宋_GB2312"/>
          <w:sz w:val="32"/>
          <w:szCs w:val="32"/>
          <w:lang w:eastAsia="zh-CN"/>
        </w:rPr>
        <w:t>，</w:t>
      </w:r>
      <w:r>
        <w:rPr>
          <w:rFonts w:hint="eastAsia" w:ascii="仿宋" w:hAnsi="仿宋" w:eastAsia="仿宋"/>
          <w:sz w:val="32"/>
          <w:szCs w:val="32"/>
          <w:lang w:eastAsia="zh-CN"/>
        </w:rPr>
        <w:t>主要</w:t>
      </w:r>
      <w:r>
        <w:rPr>
          <w:rFonts w:hint="eastAsia" w:ascii="仿宋_GB2312" w:eastAsia="仿宋_GB2312"/>
          <w:sz w:val="32"/>
          <w:szCs w:val="32"/>
        </w:rPr>
        <w:t>要用于华侨、眷属走访慰问传统佳节走访慰问。</w:t>
      </w:r>
    </w:p>
    <w:p w14:paraId="27413251"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微软雅黑" w:hAnsi="微软雅黑" w:eastAsia="微软雅黑" w:cs="微软雅黑"/>
          <w:sz w:val="32"/>
          <w:szCs w:val="32"/>
          <w:lang w:val="en-US" w:eastAsia="zh-CN"/>
        </w:rPr>
        <w:t>⑥</w:t>
      </w:r>
      <w:r>
        <w:rPr>
          <w:rFonts w:hint="eastAsia" w:ascii="仿宋_GB2312" w:eastAsia="仿宋_GB2312"/>
          <w:sz w:val="32"/>
          <w:szCs w:val="32"/>
        </w:rPr>
        <w:t>黄埔同学会工作经费预算安排0.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sz w:val="32"/>
          <w:szCs w:val="32"/>
        </w:rPr>
        <w:t>万元</w:t>
      </w:r>
      <w:r>
        <w:rPr>
          <w:rFonts w:hint="eastAsia" w:ascii="仿宋_GB2312" w:eastAsia="仿宋_GB2312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</w:rPr>
        <w:t>主要用于宣传、贯彻党和政府关于对台工作的方针政策，弘扬“爱国”“革命”的黄埔精神。</w:t>
      </w:r>
    </w:p>
    <w:p w14:paraId="5A100A2A"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微软雅黑" w:hAnsi="微软雅黑" w:eastAsia="微软雅黑" w:cs="微软雅黑"/>
          <w:sz w:val="32"/>
          <w:szCs w:val="32"/>
          <w:lang w:val="en-US" w:eastAsia="zh-CN"/>
        </w:rPr>
        <w:t>⑦</w:t>
      </w:r>
      <w:r>
        <w:rPr>
          <w:rFonts w:hint="eastAsia" w:ascii="仿宋_GB2312" w:eastAsia="仿宋_GB2312"/>
          <w:sz w:val="32"/>
          <w:szCs w:val="32"/>
        </w:rPr>
        <w:t>两党建设工作经费预算安排1.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9</w:t>
      </w:r>
      <w:r>
        <w:rPr>
          <w:rFonts w:hint="eastAsia" w:ascii="仿宋_GB2312" w:eastAsia="仿宋_GB2312"/>
          <w:sz w:val="32"/>
          <w:szCs w:val="32"/>
        </w:rPr>
        <w:t>万元</w:t>
      </w:r>
      <w:r>
        <w:rPr>
          <w:rFonts w:hint="eastAsia" w:ascii="仿宋_GB2312" w:eastAsia="仿宋_GB2312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</w:rPr>
        <w:t>主要用于两党建设工作。</w:t>
      </w:r>
    </w:p>
    <w:p w14:paraId="3FE5E461">
      <w:pPr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微软雅黑" w:hAnsi="微软雅黑" w:eastAsia="微软雅黑" w:cs="微软雅黑"/>
          <w:sz w:val="32"/>
          <w:szCs w:val="32"/>
          <w:lang w:val="en-US" w:eastAsia="zh-CN"/>
        </w:rPr>
        <w:t>⑧</w:t>
      </w:r>
      <w:r>
        <w:rPr>
          <w:rFonts w:hint="eastAsia" w:ascii="仿宋_GB2312" w:eastAsia="仿宋_GB2312"/>
          <w:sz w:val="32"/>
          <w:szCs w:val="32"/>
        </w:rPr>
        <w:t>侨联工作经费预算安排4.20万元</w:t>
      </w:r>
      <w:r>
        <w:rPr>
          <w:rFonts w:hint="eastAsia" w:ascii="仿宋_GB2312" w:eastAsia="仿宋_GB2312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</w:rPr>
        <w:t>主要用</w:t>
      </w:r>
      <w:r>
        <w:rPr>
          <w:rFonts w:hint="eastAsia" w:ascii="仿宋_GB2312"/>
          <w:sz w:val="32"/>
          <w:szCs w:val="32"/>
        </w:rPr>
        <w:t>于</w:t>
      </w:r>
      <w:r>
        <w:rPr>
          <w:rFonts w:hint="eastAsia" w:ascii="仿宋_GB2312" w:eastAsia="仿宋_GB2312"/>
          <w:sz w:val="32"/>
          <w:szCs w:val="32"/>
        </w:rPr>
        <w:t>更好的服务全县归侨侨眷，深化为侨服务凝聚人心。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</w:t>
      </w:r>
    </w:p>
    <w:p w14:paraId="68F60CE9">
      <w:pPr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微软雅黑" w:hAnsi="微软雅黑" w:eastAsia="微软雅黑" w:cs="微软雅黑"/>
          <w:sz w:val="32"/>
          <w:szCs w:val="32"/>
          <w:lang w:val="en-US" w:eastAsia="zh-CN"/>
        </w:rPr>
        <w:t>⑨</w:t>
      </w:r>
      <w:r>
        <w:rPr>
          <w:rFonts w:hint="eastAsia" w:ascii="仿宋" w:hAnsi="仿宋" w:eastAsia="仿宋"/>
          <w:sz w:val="32"/>
          <w:szCs w:val="32"/>
        </w:rPr>
        <w:t>宗教执法大队专项经费预算安排8万元，主要用于宗教执法活动。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                </w:t>
      </w:r>
    </w:p>
    <w:p w14:paraId="46042F4A">
      <w:pPr>
        <w:ind w:firstLine="640" w:firstLineChars="200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微软雅黑" w:hAnsi="微软雅黑" w:eastAsia="微软雅黑" w:cs="微软雅黑"/>
          <w:sz w:val="32"/>
          <w:szCs w:val="32"/>
          <w:lang w:val="en-US" w:eastAsia="zh-CN"/>
        </w:rPr>
        <w:t>⑩</w:t>
      </w:r>
      <w:r>
        <w:rPr>
          <w:rFonts w:hint="eastAsia" w:ascii="仿宋_GB2312" w:eastAsia="仿宋_GB2312"/>
          <w:sz w:val="32"/>
          <w:szCs w:val="32"/>
        </w:rPr>
        <w:t>民族宗教工作经费预算安排6.4万元</w:t>
      </w:r>
      <w:r>
        <w:rPr>
          <w:rFonts w:hint="eastAsia" w:ascii="仿宋_GB2312" w:eastAsia="仿宋_GB2312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spacing w:val="-20"/>
          <w:sz w:val="32"/>
          <w:szCs w:val="32"/>
        </w:rPr>
        <w:t>主要用于民族政策法规等宣传</w:t>
      </w:r>
      <w:r>
        <w:rPr>
          <w:rFonts w:hint="eastAsia" w:ascii="仿宋" w:hAnsi="仿宋" w:eastAsia="仿宋"/>
          <w:sz w:val="32"/>
          <w:szCs w:val="32"/>
          <w:lang w:eastAsia="zh-CN"/>
        </w:rPr>
        <w:t>。</w:t>
      </w:r>
    </w:p>
    <w:p w14:paraId="677B8172">
      <w:pPr>
        <w:pStyle w:val="8"/>
        <w:numPr>
          <w:ilvl w:val="0"/>
          <w:numId w:val="0"/>
        </w:numPr>
        <w:ind w:firstLine="643" w:firstLineChars="200"/>
        <w:rPr>
          <w:rFonts w:hint="default" w:ascii="仿宋" w:hAnsi="仿宋" w:eastAsia="仿宋"/>
          <w:b w:val="0"/>
          <w:bCs w:val="0"/>
          <w:sz w:val="32"/>
          <w:szCs w:val="32"/>
          <w:lang w:val="en-US" w:eastAsia="zh-CN"/>
        </w:rPr>
      </w:pPr>
      <w:r>
        <w:rPr>
          <w:rFonts w:hint="default" w:ascii="仿宋" w:hAnsi="仿宋" w:eastAsia="仿宋"/>
          <w:b/>
          <w:bCs/>
          <w:sz w:val="32"/>
          <w:szCs w:val="32"/>
          <w:lang w:eastAsia="zh-CN"/>
        </w:rPr>
        <w:t>（2）</w:t>
      </w:r>
      <w:r>
        <w:rPr>
          <w:rFonts w:hint="default" w:ascii="仿宋" w:hAnsi="仿宋" w:eastAsia="仿宋"/>
          <w:b w:val="0"/>
          <w:bCs w:val="0"/>
          <w:sz w:val="32"/>
          <w:szCs w:val="32"/>
          <w:lang w:eastAsia="zh-CN"/>
        </w:rPr>
        <w:t>县本级年中预算调整项目预算到位</w:t>
      </w:r>
      <w:r>
        <w:rPr>
          <w:rFonts w:hint="eastAsia" w:ascii="仿宋" w:hAnsi="仿宋" w:eastAsia="仿宋"/>
          <w:b w:val="0"/>
          <w:bCs w:val="0"/>
          <w:sz w:val="32"/>
          <w:szCs w:val="32"/>
          <w:lang w:val="en-US" w:eastAsia="zh-CN"/>
        </w:rPr>
        <w:t>93.27</w:t>
      </w:r>
      <w:r>
        <w:rPr>
          <w:rFonts w:hint="default" w:ascii="仿宋" w:hAnsi="仿宋" w:eastAsia="仿宋"/>
          <w:b w:val="0"/>
          <w:bCs w:val="0"/>
          <w:sz w:val="32"/>
          <w:szCs w:val="32"/>
          <w:lang w:eastAsia="zh-CN"/>
        </w:rPr>
        <w:t>万元，项目主要</w:t>
      </w:r>
      <w:r>
        <w:rPr>
          <w:rFonts w:hint="eastAsia" w:ascii="仿宋" w:hAnsi="仿宋" w:eastAsia="仿宋"/>
          <w:b w:val="0"/>
          <w:bCs w:val="0"/>
          <w:sz w:val="32"/>
          <w:szCs w:val="32"/>
          <w:lang w:eastAsia="zh-CN"/>
        </w:rPr>
        <w:t>用于课题研究服务费用</w:t>
      </w:r>
      <w:r>
        <w:rPr>
          <w:rFonts w:hint="eastAsia" w:ascii="仿宋" w:hAnsi="仿宋" w:eastAsia="仿宋"/>
          <w:b w:val="0"/>
          <w:bCs w:val="0"/>
          <w:sz w:val="32"/>
          <w:szCs w:val="32"/>
          <w:lang w:val="en-US" w:eastAsia="zh-CN"/>
        </w:rPr>
        <w:t>21万元、</w:t>
      </w:r>
      <w:r>
        <w:rPr>
          <w:rFonts w:hint="default" w:ascii="仿宋" w:hAnsi="仿宋" w:eastAsia="仿宋"/>
          <w:b w:val="0"/>
          <w:bCs w:val="0"/>
          <w:sz w:val="32"/>
          <w:szCs w:val="32"/>
          <w:lang w:eastAsia="zh-CN"/>
        </w:rPr>
        <w:t>民族创建工作</w:t>
      </w:r>
      <w:r>
        <w:rPr>
          <w:rFonts w:hint="eastAsia" w:ascii="仿宋" w:hAnsi="仿宋" w:eastAsia="仿宋"/>
          <w:b w:val="0"/>
          <w:bCs w:val="0"/>
          <w:sz w:val="32"/>
          <w:szCs w:val="32"/>
          <w:lang w:val="en-US" w:eastAsia="zh-CN"/>
        </w:rPr>
        <w:t>46.5万元</w:t>
      </w:r>
      <w:r>
        <w:rPr>
          <w:rFonts w:hint="eastAsia" w:ascii="仿宋" w:hAnsi="仿宋" w:eastAsia="仿宋"/>
          <w:b w:val="0"/>
          <w:bCs w:val="0"/>
          <w:sz w:val="32"/>
          <w:szCs w:val="32"/>
          <w:lang w:eastAsia="zh-CN"/>
        </w:rPr>
        <w:t>、拨付参加怀化市第六届少数民族传统体育运动会相关经费</w:t>
      </w:r>
      <w:r>
        <w:rPr>
          <w:rFonts w:hint="eastAsia" w:ascii="仿宋" w:hAnsi="仿宋" w:eastAsia="仿宋"/>
          <w:b w:val="0"/>
          <w:bCs w:val="0"/>
          <w:sz w:val="32"/>
          <w:szCs w:val="32"/>
          <w:lang w:val="en-US" w:eastAsia="zh-CN"/>
        </w:rPr>
        <w:t>5万元、其他财政对社会保险基金的补助0.17万元、其他专项工作经费20.6万元。</w:t>
      </w:r>
    </w:p>
    <w:p w14:paraId="6D934124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548" w:firstLineChars="200"/>
        <w:textAlignment w:val="auto"/>
        <w:rPr>
          <w:rFonts w:hint="default" w:ascii="楷体_GB2312" w:eastAsia="楷体_GB2312" w:cs="楷体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default" w:ascii="楷体_GB2312" w:hAnsi="Times New Roman" w:eastAsia="楷体_GB2312" w:cs="楷体_GB2312"/>
          <w:i w:val="0"/>
          <w:iCs w:val="0"/>
          <w:caps w:val="0"/>
          <w:color w:val="000000"/>
          <w:spacing w:val="-23"/>
          <w:sz w:val="32"/>
          <w:szCs w:val="32"/>
          <w:shd w:val="clear" w:color="auto" w:fill="FFFFFF"/>
        </w:rPr>
        <w:t>（三）</w:t>
      </w:r>
      <w:r>
        <w:rPr>
          <w:rFonts w:hint="default" w:ascii="楷体_GB2312" w:eastAsia="楷体_GB2312" w:cs="楷体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"三公"经费使用和管理情况</w:t>
      </w:r>
    </w:p>
    <w:p w14:paraId="77177460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textAlignment w:val="auto"/>
        <w:rPr>
          <w:rFonts w:hint="default" w:ascii="仿宋" w:hAnsi="仿宋" w:eastAsia="仿宋" w:cs="Times New Roman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default" w:ascii="仿宋" w:hAnsi="仿宋" w:eastAsia="仿宋" w:cs="Times New Roman"/>
          <w:b w:val="0"/>
          <w:bCs w:val="0"/>
          <w:kern w:val="2"/>
          <w:sz w:val="32"/>
          <w:szCs w:val="32"/>
          <w:lang w:val="en-US" w:eastAsia="zh-CN" w:bidi="ar-SA"/>
        </w:rPr>
        <w:t>2023年财政拨款安排“三公”经费预算数</w:t>
      </w:r>
      <w:r>
        <w:rPr>
          <w:rFonts w:hint="eastAsia" w:ascii="仿宋" w:hAnsi="仿宋" w:eastAsia="仿宋" w:cs="Times New Roman"/>
          <w:b w:val="0"/>
          <w:bCs w:val="0"/>
          <w:kern w:val="2"/>
          <w:sz w:val="32"/>
          <w:szCs w:val="32"/>
          <w:lang w:val="en-US" w:eastAsia="zh-CN" w:bidi="ar-SA"/>
        </w:rPr>
        <w:t>9.4</w:t>
      </w:r>
      <w:r>
        <w:rPr>
          <w:rFonts w:hint="default" w:ascii="仿宋" w:hAnsi="仿宋" w:eastAsia="仿宋" w:cs="Times New Roman"/>
          <w:b w:val="0"/>
          <w:bCs w:val="0"/>
          <w:kern w:val="2"/>
          <w:sz w:val="32"/>
          <w:szCs w:val="32"/>
          <w:lang w:val="en-US" w:eastAsia="zh-CN" w:bidi="ar-SA"/>
        </w:rPr>
        <w:t>万元，</w:t>
      </w:r>
      <w:r>
        <w:rPr>
          <w:rFonts w:hint="eastAsia" w:ascii="仿宋" w:hAnsi="仿宋" w:eastAsia="仿宋" w:cs="Times New Roman"/>
          <w:b w:val="0"/>
          <w:bCs w:val="0"/>
          <w:kern w:val="2"/>
          <w:sz w:val="32"/>
          <w:szCs w:val="32"/>
          <w:lang w:val="en-US" w:eastAsia="zh-CN" w:bidi="ar-SA"/>
        </w:rPr>
        <w:t>其中公务接待8.9万元，车辆运行维护费0.5万元；</w:t>
      </w:r>
      <w:r>
        <w:rPr>
          <w:rFonts w:hint="default" w:ascii="仿宋" w:hAnsi="仿宋" w:eastAsia="仿宋" w:cs="Times New Roman"/>
          <w:b w:val="0"/>
          <w:bCs w:val="0"/>
          <w:kern w:val="2"/>
          <w:sz w:val="32"/>
          <w:szCs w:val="32"/>
          <w:lang w:val="en-US" w:eastAsia="zh-CN" w:bidi="ar-SA"/>
        </w:rPr>
        <w:t xml:space="preserve"> 2023年“三公”经费支出数</w:t>
      </w:r>
      <w:r>
        <w:rPr>
          <w:rFonts w:hint="eastAsia" w:ascii="仿宋" w:hAnsi="仿宋" w:eastAsia="仿宋" w:cs="Times New Roman"/>
          <w:b w:val="0"/>
          <w:bCs w:val="0"/>
          <w:kern w:val="2"/>
          <w:sz w:val="32"/>
          <w:szCs w:val="32"/>
          <w:lang w:val="en-US" w:eastAsia="zh-CN" w:bidi="ar-SA"/>
        </w:rPr>
        <w:t>1.37</w:t>
      </w:r>
      <w:r>
        <w:rPr>
          <w:rFonts w:hint="default" w:ascii="仿宋" w:hAnsi="仿宋" w:eastAsia="仿宋" w:cs="Times New Roman"/>
          <w:b w:val="0"/>
          <w:bCs w:val="0"/>
          <w:kern w:val="2"/>
          <w:sz w:val="32"/>
          <w:szCs w:val="32"/>
          <w:lang w:val="en-US" w:eastAsia="zh-CN" w:bidi="ar-SA"/>
        </w:rPr>
        <w:t>万元, 占年初预算</w:t>
      </w:r>
      <w:r>
        <w:rPr>
          <w:rFonts w:hint="eastAsia" w:ascii="仿宋" w:hAnsi="仿宋" w:eastAsia="仿宋" w:cs="Times New Roman"/>
          <w:b w:val="0"/>
          <w:bCs w:val="0"/>
          <w:kern w:val="2"/>
          <w:sz w:val="32"/>
          <w:szCs w:val="32"/>
          <w:lang w:val="en-US" w:eastAsia="zh-CN" w:bidi="ar-SA"/>
        </w:rPr>
        <w:t>14.57</w:t>
      </w:r>
      <w:r>
        <w:rPr>
          <w:rFonts w:hint="default" w:ascii="仿宋" w:hAnsi="仿宋" w:eastAsia="仿宋" w:cs="Times New Roman"/>
          <w:b w:val="0"/>
          <w:bCs w:val="0"/>
          <w:kern w:val="2"/>
          <w:sz w:val="32"/>
          <w:szCs w:val="32"/>
          <w:lang w:val="en-US" w:eastAsia="zh-CN" w:bidi="ar-SA"/>
        </w:rPr>
        <w:t>%，支出为公务接待费</w:t>
      </w:r>
      <w:r>
        <w:rPr>
          <w:rFonts w:hint="eastAsia" w:ascii="仿宋" w:hAnsi="仿宋" w:eastAsia="仿宋" w:cs="Times New Roman"/>
          <w:b w:val="0"/>
          <w:bCs w:val="0"/>
          <w:kern w:val="2"/>
          <w:sz w:val="32"/>
          <w:szCs w:val="32"/>
          <w:lang w:val="en-US" w:eastAsia="zh-CN" w:bidi="ar-SA"/>
        </w:rPr>
        <w:t>1.37</w:t>
      </w:r>
      <w:r>
        <w:rPr>
          <w:rFonts w:hint="default" w:ascii="仿宋" w:hAnsi="仿宋" w:eastAsia="仿宋" w:cs="Times New Roman"/>
          <w:b w:val="0"/>
          <w:bCs w:val="0"/>
          <w:kern w:val="2"/>
          <w:sz w:val="32"/>
          <w:szCs w:val="32"/>
          <w:lang w:val="en-US" w:eastAsia="zh-CN" w:bidi="ar-SA"/>
        </w:rPr>
        <w:t>万元。主要原因是：认真贯彻厉行节约要求，从严控制“三公”经费开支。</w:t>
      </w:r>
    </w:p>
    <w:p w14:paraId="78DF3496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textAlignment w:val="auto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三、政府性基金预算支出情况</w:t>
      </w:r>
    </w:p>
    <w:p w14:paraId="429B6722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textAlignment w:val="auto"/>
        <w:rPr>
          <w:rFonts w:hint="default" w:asci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  <w:bookmarkStart w:id="3" w:name="OLE_LINK1"/>
      <w:r>
        <w:rPr>
          <w:rFonts w:hint="eastAsia" w:asci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2023年政府性基金预算支出5万元，资金来源2022年市县分成体彩公益金，用于开展参加怀化市第六届少数民族传统体育运动会相关经费。</w:t>
      </w:r>
    </w:p>
    <w:bookmarkEnd w:id="3"/>
    <w:p w14:paraId="5C6682BD">
      <w:pPr>
        <w:pStyle w:val="5"/>
        <w:keepNext w:val="0"/>
        <w:keepLines w:val="0"/>
        <w:pageBreakBefore w:val="0"/>
        <w:widowControl/>
        <w:numPr>
          <w:ilvl w:val="0"/>
          <w:numId w:val="4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textAlignment w:val="auto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国有资本经营预算支出情况</w:t>
      </w:r>
    </w:p>
    <w:p w14:paraId="192C1758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textAlignment w:val="auto"/>
        <w:rPr>
          <w:rFonts w:hint="eastAsia" w:asci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 xml:space="preserve"> </w:t>
      </w:r>
      <w:r>
        <w:rPr>
          <w:rFonts w:hint="eastAsia" w:asci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本单位无政府性基金预算支出</w:t>
      </w:r>
    </w:p>
    <w:p w14:paraId="521ABFEE">
      <w:pPr>
        <w:pStyle w:val="5"/>
        <w:keepNext w:val="0"/>
        <w:keepLines w:val="0"/>
        <w:pageBreakBefore w:val="0"/>
        <w:widowControl/>
        <w:numPr>
          <w:ilvl w:val="0"/>
          <w:numId w:val="4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="0" w:leftChars="0" w:right="0" w:firstLine="640" w:firstLineChars="200"/>
        <w:textAlignment w:val="auto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社会保险基金预算支出情况</w:t>
      </w:r>
    </w:p>
    <w:p w14:paraId="52D788BE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textAlignment w:val="auto"/>
        <w:rPr>
          <w:rFonts w:hint="eastAsia" w:asci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 xml:space="preserve">  </w:t>
      </w:r>
      <w:r>
        <w:rPr>
          <w:rFonts w:hint="eastAsia" w:asci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本单位无政府性基金预算支出</w:t>
      </w:r>
    </w:p>
    <w:p w14:paraId="50C86F06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textAlignment w:val="auto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六、部门整体支出绩效情况</w:t>
      </w:r>
    </w:p>
    <w:p w14:paraId="38B5DB9A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548" w:firstLineChars="200"/>
        <w:textAlignment w:val="auto"/>
        <w:rPr>
          <w:rFonts w:hint="default" w:asci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default" w:ascii="楷体_GB2312" w:hAnsi="Times New Roman" w:eastAsia="楷体_GB2312" w:cs="楷体_GB2312"/>
          <w:i w:val="0"/>
          <w:iCs w:val="0"/>
          <w:caps w:val="0"/>
          <w:color w:val="000000"/>
          <w:spacing w:val="-23"/>
          <w:sz w:val="32"/>
          <w:szCs w:val="32"/>
          <w:shd w:val="clear" w:color="auto" w:fill="FFFFFF"/>
        </w:rPr>
        <w:t>（一）</w:t>
      </w:r>
      <w:r>
        <w:rPr>
          <w:rFonts w:hint="default" w:ascii="楷体_GB2312" w:eastAsia="楷体_GB2312" w:cs="楷体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综合评价结论。</w:t>
      </w:r>
      <w:r>
        <w:rPr>
          <w:rFonts w:hint="default" w:asci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反映自评得分及评价等级。</w:t>
      </w:r>
    </w:p>
    <w:p w14:paraId="7BACC992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textAlignment w:val="auto"/>
        <w:rPr>
          <w:rFonts w:hint="eastAsia" w:asci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</w:pPr>
      <w:r>
        <w:rPr>
          <w:rFonts w:hint="default" w:asci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按照省财政厅2023年部门整体支出绩效自评工作要求，围绕县委、县政府以及市局的工作部署，积极履行职责，强化管理，较好地完成了年度工作目标，同时加强预算收支的管理，建立健全内部管理制度，严格内部管理流程。根据部门整体支出绩效自评表，我单位2023年度绩效自评得分9</w:t>
      </w:r>
      <w:r>
        <w:rPr>
          <w:rFonts w:hint="eastAsia" w:asci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2</w:t>
      </w:r>
      <w:r>
        <w:rPr>
          <w:rFonts w:hint="default" w:asci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分</w:t>
      </w:r>
      <w:r>
        <w:rPr>
          <w:rFonts w:hint="eastAsia" w:asci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，评价结论为“优”。</w:t>
      </w:r>
    </w:p>
    <w:p w14:paraId="4510B841">
      <w:pPr>
        <w:pStyle w:val="5"/>
        <w:keepNext w:val="0"/>
        <w:keepLines w:val="0"/>
        <w:pageBreakBefore w:val="0"/>
        <w:widowControl/>
        <w:numPr>
          <w:ilvl w:val="0"/>
          <w:numId w:val="5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textAlignment w:val="auto"/>
        <w:rPr>
          <w:rFonts w:hint="default" w:ascii="楷体_GB2312" w:eastAsia="楷体_GB2312" w:cs="楷体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default" w:ascii="楷体_GB2312" w:eastAsia="楷体_GB2312" w:cs="楷体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评价指标分析（或综合评价情况）。</w:t>
      </w:r>
    </w:p>
    <w:p w14:paraId="4F667AA5"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Chars="200" w:right="0" w:rightChars="0" w:firstLine="320" w:firstLineChars="100"/>
        <w:textAlignment w:val="auto"/>
        <w:rPr>
          <w:rFonts w:hint="eastAsia" w:ascii="楷体_GB2312" w:eastAsia="楷体_GB2312" w:cs="楷体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</w:pPr>
      <w:r>
        <w:rPr>
          <w:rFonts w:hint="default" w:ascii="楷体_GB2312" w:eastAsia="楷体_GB2312" w:cs="楷体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投入情况分析</w:t>
      </w:r>
      <w:r>
        <w:rPr>
          <w:rFonts w:hint="eastAsia" w:ascii="楷体_GB2312" w:eastAsia="楷体_GB2312" w:cs="楷体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：</w:t>
      </w:r>
    </w:p>
    <w:p w14:paraId="539E079F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textAlignment w:val="auto"/>
        <w:rPr>
          <w:rFonts w:hint="default" w:asci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default" w:asci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1.目标设定：根据《中国共产党</w:t>
      </w:r>
      <w:r>
        <w:rPr>
          <w:rFonts w:hint="eastAsia" w:asci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会同县</w:t>
      </w:r>
      <w:r>
        <w:rPr>
          <w:rFonts w:hint="default" w:asci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县委员会统战部2023年部门工作要点》，结合围绕县委、县政府中心工作，开展全县统战工作职能职责，开展2023年统战培训工作，提升统战影响力。</w:t>
      </w:r>
    </w:p>
    <w:p w14:paraId="1D8A38B2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textAlignment w:val="auto"/>
        <w:rPr>
          <w:rFonts w:hint="default" w:asci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default" w:asci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2.预算配置：一是预算编制科学，按照“合法合规、真实科学，综合预算、统筹安排，规划约束、讲求绩效，民生优先、确保重点”的原则，科学编制单位项目规划，项目规划突出重点，充分体现项目的前瞻性、完整性；二是确保重点支出安排，所有预算项目按照单位的主要职责安排项目，确保县委、县政府确定的任务目标的完成，部门履行主要职责或完成重点任务保障有力。</w:t>
      </w:r>
    </w:p>
    <w:p w14:paraId="0FDDB4CA"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Chars="200" w:right="0" w:rightChars="0" w:firstLine="320" w:firstLineChars="100"/>
        <w:textAlignment w:val="auto"/>
        <w:rPr>
          <w:rFonts w:hint="eastAsia" w:ascii="楷体_GB2312" w:eastAsia="楷体_GB2312" w:cs="楷体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</w:pPr>
      <w:r>
        <w:rPr>
          <w:rFonts w:hint="default" w:ascii="楷体_GB2312" w:eastAsia="楷体_GB2312" w:cs="楷体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过程情况分析</w:t>
      </w:r>
      <w:r>
        <w:rPr>
          <w:rFonts w:hint="eastAsia" w:ascii="楷体_GB2312" w:eastAsia="楷体_GB2312" w:cs="楷体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：</w:t>
      </w:r>
    </w:p>
    <w:p w14:paraId="0CE86F65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textAlignment w:val="auto"/>
        <w:rPr>
          <w:rFonts w:hint="default" w:asci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default" w:asci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1.预算执行：一是严格预算执行，采取有效措施，加快预算执行进度；二是严控结转结余，结转结余控制目标为不超过上年结余结转数；三是项目组织良好，部门开展项目有健全的管理机构作为保障并明确实施主体责任；加强部门内部资金使用的监督管理，专项检查、专项督查工作中，均将项目资金的使用管理的核查作为所有考评工作的重要内容，并在项目实施完成后及时开展绩效自评；四是“三公经费”节支增效，按照“三公经费”只减不增的要求，2023年部门“三公经费”预算数小于等于上年预算数；</w:t>
      </w:r>
    </w:p>
    <w:p w14:paraId="42759B7F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textAlignment w:val="auto"/>
        <w:rPr>
          <w:rFonts w:hint="default" w:asci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default" w:asci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2.预算管理：一是管理制度健全，建立行之有效的项目安排决策机制，保障部门项目申报、审核、安排全程公开透明。制定完善相关财务管理制度，根据项目实施内容，细化项目管理办法，对项目制定绩效目标，对项目支出绩效进行监控。二是信息公开及时完整，对固定资产进行规范管理,，规范固定资产的采购、使用、处置、管理工作。建立了资产台账登记管理制度，及时更新资产管理信息系统数据，实施资产动态管理和监督，维护资产的安全、完整；</w:t>
      </w:r>
    </w:p>
    <w:p w14:paraId="688010D2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textAlignment w:val="auto"/>
        <w:rPr>
          <w:rFonts w:hint="default" w:asci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default" w:asci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3.资产管理，资产管理使用规范有效，对固定资产进行规范管理,规范固定资产的采购、使用、处置、管理工作。建立了资产台账登记管理制度，及时更新资产管理信息系统数据，实施资产动态管理和监督，维护资产的安全、完整。</w:t>
      </w:r>
    </w:p>
    <w:p w14:paraId="0E1B4CC1"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Chars="200" w:right="0" w:rightChars="0" w:firstLine="320" w:firstLineChars="100"/>
        <w:textAlignment w:val="auto"/>
        <w:rPr>
          <w:rFonts w:hint="eastAsia" w:ascii="楷体_GB2312" w:eastAsia="楷体_GB2312" w:cs="楷体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</w:pPr>
      <w:r>
        <w:rPr>
          <w:rFonts w:hint="default" w:ascii="楷体_GB2312" w:eastAsia="楷体_GB2312" w:cs="楷体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产出情况分析</w:t>
      </w:r>
      <w:r>
        <w:rPr>
          <w:rFonts w:hint="eastAsia" w:ascii="楷体_GB2312" w:eastAsia="楷体_GB2312" w:cs="楷体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：</w:t>
      </w:r>
    </w:p>
    <w:p w14:paraId="2DEBDA59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textAlignment w:val="auto"/>
        <w:rPr>
          <w:rFonts w:hint="default" w:asci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default" w:asci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会同县委统战部在县委的正确领导下，在市委统战部的支持帮助下，统一战线工作开展顺利。我县粟裕故居获批“湖南统一战线教育基地”；粟裕希望小学被授牌为“湖南省铸牢中华民族共同体意识研究基地”和“湖南省语言文字推广基地会同县工作站”；蒲稳侗族苗族乡等15个单位荣获“市民族团结进步示范单位”称号；《以“九有”标准开拓新时代基层统战工作新局面》被《中国社区报》作为基层治理经验予以推介，也被市委统战部推荐给省委统战部参评实践创新成果奖。</w:t>
      </w:r>
    </w:p>
    <w:p w14:paraId="62516D1F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textAlignment w:val="auto"/>
        <w:rPr>
          <w:rFonts w:hint="default" w:asci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default" w:asci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1.持续深化思想政治引领。县委常委会专题研究统战工作3次，召开县委统战工作领导小组会议2次，全县197名统战成员参与完成湖南省网上社院学习。扎实开展“五学两助”主题活动，将统战理论政策纳入全县新时代基层干部主题班培训内容，全年举办各类培训讲座10余场，培训800余人次。</w:t>
      </w:r>
    </w:p>
    <w:p w14:paraId="2A44BB0D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textAlignment w:val="auto"/>
        <w:rPr>
          <w:rFonts w:hint="default" w:asci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default" w:asci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2.做实民营经济统战工作。落实县级领导常态化联系民营企业和商（协）会制度，全体县级领导联系139家民营企业，帮助解决问题160余件。指导成立1家异地商会“长沙会同商会”和1家本地商会“城北商会”。设立县湘商回归服务站1个，乡（镇）湘商回归服务站18个，在广州、长沙挂牌成立湘商回归和返乡创业联络站2个。完成7个基层商会换届。实施“万企兴万村”行动，组织29家民营企业和商会投入5800万元与40个村建立了结对帮扶关系。继续做好县工商联争创全国“五好”工商联、会同县宝庆商会争创全国“四好”商会、城东商会和商贸城商会争创全省“四好”商会等工作。</w:t>
      </w:r>
    </w:p>
    <w:p w14:paraId="340E5509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textAlignment w:val="auto"/>
        <w:rPr>
          <w:rFonts w:hint="default" w:asci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default" w:asci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3.发挥统战人才荟萃优势。推荐提拔党外干部3名，职级晋升8名。推荐2名重点民企负责人担任市县级人大代表、政协委员。开展会同县直播电商“e新助农”新阶实践创新基地申报工作，组织60余名新阶人士开展助力乡村振兴等活动5次，会同县新的阶层人士直播电商“e新助农”基地获评市级新阶实践创新基地。</w:t>
      </w:r>
    </w:p>
    <w:p w14:paraId="3909F4C1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textAlignment w:val="auto"/>
        <w:rPr>
          <w:rFonts w:hint="default" w:asci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default" w:asci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4.推动民族工作提质增效。落实民族工作协调机制，召开协调会议3次，制定并实施《会同县民族工作“十四五”发展规划》。瑞春茶叶等2家企业被省民宗委认定为“十四五”期间“民贸民品”企业。青朗侗族苗族乡被省民宗委批准为2024-2027年少数民族高质量发展示范乡镇。实施477万元民族发展项目。投入50余万元开展民族团结进步创建工作，深化“十个一”工程，将创建工作纳入绩效考核内容，成立民族团结进步协会和18个乡镇工作站。编撰20余万字的《铸牢中华民族共同体意识在会同》。配合驻湘工作组完成外来少数民族服务工作4次。完成1630名享受普通高校招生民族优惠政策考生资格审核，依法开展民族成份变更登记13人。</w:t>
      </w:r>
    </w:p>
    <w:p w14:paraId="7E6F74AF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textAlignment w:val="auto"/>
        <w:rPr>
          <w:rFonts w:hint="default" w:asci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default" w:asci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5.依法加强管理宗教事务。落实宗教工作专题会议机制，召开专题会议5次。开展宗教领域两个专项整治，完成宗教场所安全生产隐患排查130余次。指导宗教团体完成换届选举。指导各乡镇结合实际对村级两员进行分级培训40余次。</w:t>
      </w:r>
    </w:p>
    <w:p w14:paraId="695DCA34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textAlignment w:val="auto"/>
        <w:rPr>
          <w:rFonts w:hint="default" w:asci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default" w:asci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6.加强港澳和海外统战工作。成立县侨联党组，完成县域侨情调查。安排走访经费4万余元，走访慰问侨眷属、港澳同胞100多人次，帮助解决难题3个。</w:t>
      </w:r>
    </w:p>
    <w:p w14:paraId="448EE518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textAlignment w:val="auto"/>
        <w:rPr>
          <w:rFonts w:hint="default" w:asci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default" w:asci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7.创品牌做实基层统战工作。以推行统战（小）组长制度为抓手，推进乡镇工作“九有三化”建设。印发《会同县统战(小)组长管理办法(试行)和考核细则(试行)》，在全县18个乡镇建立统战办公室，设置1270名统战（小）组长，明确“九有”标准，明晰5项村(社区)统战工作主要任务，台账式管理工作。组织统战(小)组长开展“你有事就喊我”“喊你来就业”活动，分别为群众解决各类困难和问题1109件和引导1400余名人员进入园区就业。组织群众常态化开展“围炉夜话”活动2900余场次，共有30万余人次群众参与，收集、整理、办结群众反映的意见建议2100余条。</w:t>
      </w:r>
    </w:p>
    <w:p w14:paraId="5F3909F4"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Chars="200" w:right="0" w:rightChars="0" w:firstLine="320" w:firstLineChars="100"/>
        <w:textAlignment w:val="auto"/>
        <w:rPr>
          <w:rFonts w:hint="eastAsia" w:ascii="楷体_GB2312" w:eastAsia="楷体_GB2312" w:cs="楷体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</w:pPr>
      <w:r>
        <w:rPr>
          <w:rFonts w:hint="default" w:ascii="楷体_GB2312" w:eastAsia="楷体_GB2312" w:cs="楷体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效果情况分析</w:t>
      </w:r>
      <w:r>
        <w:rPr>
          <w:rFonts w:hint="eastAsia" w:ascii="楷体_GB2312" w:eastAsia="楷体_GB2312" w:cs="楷体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：</w:t>
      </w:r>
    </w:p>
    <w:p w14:paraId="530196B0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textAlignment w:val="auto"/>
        <w:rPr>
          <w:rFonts w:hint="default" w:asci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default" w:asci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较好完成了2023年度绩效目标任务。一是深入贯彻落实统战工作会议精神。二是把统战工作提上重要议事日程，全县统战培训会议开展，提升统战影响力。三是充实统战工作力量。四是基层统战体系建设进一步加强。</w:t>
      </w:r>
    </w:p>
    <w:p w14:paraId="3D8B4325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textAlignment w:val="auto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七、存在的问题及原因分析</w:t>
      </w:r>
    </w:p>
    <w:p w14:paraId="3B6BC836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textAlignment w:val="auto"/>
        <w:rPr>
          <w:rFonts w:hint="default" w:asci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eastAsia" w:asci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一是</w:t>
      </w:r>
      <w:r>
        <w:rPr>
          <w:rFonts w:hint="default" w:asci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部门预算编制的科学化、精细化有待提高。目前，预算编制要求经济科目细化到款级，但在实际编制过程中，由于有的预算支出项目具有预测性和不确定性等特点，造成实际支出与预算编制不符</w:t>
      </w:r>
      <w:r>
        <w:rPr>
          <w:rFonts w:hint="eastAsia" w:asci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；</w:t>
      </w:r>
      <w:r>
        <w:rPr>
          <w:rFonts w:hint="default" w:asci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二是绩效指标评价运用不够熟练。主要原因是对绩效评价制度的认识和学习不够。</w:t>
      </w:r>
    </w:p>
    <w:p w14:paraId="71B4A67B">
      <w:pPr>
        <w:pStyle w:val="5"/>
        <w:keepNext w:val="0"/>
        <w:keepLines w:val="0"/>
        <w:pageBreakBefore w:val="0"/>
        <w:widowControl/>
        <w:numPr>
          <w:ilvl w:val="0"/>
          <w:numId w:val="6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textAlignment w:val="auto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下一步改进措施</w:t>
      </w:r>
    </w:p>
    <w:p w14:paraId="50253495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textAlignment w:val="auto"/>
        <w:rPr>
          <w:rFonts w:hint="default" w:asci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eastAsia" w:asci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一是</w:t>
      </w:r>
      <w:r>
        <w:rPr>
          <w:rFonts w:hint="default" w:asci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细化预算编制工作，认真做好预算的编制。严格按照预算编制的相关制度和要求进行预算编制，全面编制预算项目，优先保障固定性的相对刚性的费用支出项目，进一步提高预算编制的科学性、严谨性和可控性</w:t>
      </w:r>
      <w:r>
        <w:rPr>
          <w:rFonts w:hint="eastAsia" w:asci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；二是</w:t>
      </w:r>
      <w:r>
        <w:rPr>
          <w:rFonts w:hint="default" w:asci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预算财务分析常态化，定期做好预算支出财务分析，做好单位整体支出预算评价工作。</w:t>
      </w:r>
    </w:p>
    <w:p w14:paraId="0595CEB1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textAlignment w:val="auto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九、其他需要说明的情况</w:t>
      </w:r>
    </w:p>
    <w:p w14:paraId="4BB4DED2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="0" w:right="0" w:firstLine="0"/>
        <w:textAlignment w:val="auto"/>
        <w:rPr>
          <w:rFonts w:hint="default" w:ascii="Times New Roman" w:hAnsi="Times New Roman" w:eastAsia="宋体" w:cs="Times New Roman"/>
          <w:i w:val="0"/>
          <w:iCs w:val="0"/>
          <w:caps w:val="0"/>
          <w:color w:val="000000"/>
          <w:spacing w:val="0"/>
          <w:sz w:val="24"/>
          <w:szCs w:val="24"/>
          <w:lang w:val="en-US" w:eastAsia="zh-CN"/>
        </w:rPr>
      </w:pPr>
      <w:r>
        <w:rPr>
          <w:rFonts w:hint="eastAsia" w:cs="Times New Roman"/>
          <w:i w:val="0"/>
          <w:iCs w:val="0"/>
          <w:caps w:val="0"/>
          <w:color w:val="000000"/>
          <w:spacing w:val="0"/>
          <w:sz w:val="24"/>
          <w:szCs w:val="24"/>
          <w:lang w:val="en-US" w:eastAsia="zh-CN"/>
        </w:rPr>
        <w:t xml:space="preserve">      无</w:t>
      </w:r>
    </w:p>
    <w:p w14:paraId="221A654B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left"/>
        <w:textAlignment w:val="auto"/>
        <w:rPr>
          <w:rFonts w:hint="default" w:asci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default" w:asci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附件：</w:t>
      </w:r>
    </w:p>
    <w:p w14:paraId="26D97DBA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left"/>
        <w:textAlignment w:val="auto"/>
        <w:rPr>
          <w:rFonts w:hint="default" w:asci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eastAsia" w:asci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1.</w:t>
      </w:r>
      <w:r>
        <w:rPr>
          <w:rFonts w:hint="default" w:asci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部门整体支出绩效评价基础数据表</w:t>
      </w:r>
      <w:r>
        <w:rPr>
          <w:rFonts w:hint="eastAsia" w:asci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 xml:space="preserve">  </w:t>
      </w:r>
    </w:p>
    <w:p w14:paraId="0A2F9BDA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left"/>
        <w:textAlignment w:val="auto"/>
        <w:rPr>
          <w:rFonts w:hint="default" w:asci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eastAsia" w:asci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2.</w:t>
      </w:r>
      <w:r>
        <w:rPr>
          <w:rFonts w:hint="default" w:asci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部门整体支出绩效自评表</w:t>
      </w:r>
    </w:p>
    <w:p w14:paraId="2FC3BB25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80" w:lineRule="atLeast"/>
        <w:ind w:left="0" w:right="0" w:firstLine="0"/>
        <w:jc w:val="both"/>
        <w:rPr>
          <w:rFonts w:hint="default" w:ascii="Calibri" w:hAnsi="Calibri" w:cs="Calibri"/>
          <w:i w:val="0"/>
          <w:iCs w:val="0"/>
          <w:caps w:val="0"/>
          <w:color w:val="000000"/>
          <w:spacing w:val="0"/>
          <w:sz w:val="24"/>
          <w:szCs w:val="24"/>
        </w:rPr>
      </w:pPr>
    </w:p>
    <w:p w14:paraId="087DDAD5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80" w:lineRule="atLeast"/>
        <w:ind w:left="0" w:right="0" w:firstLine="0"/>
        <w:jc w:val="both"/>
        <w:rPr>
          <w:rFonts w:hint="default" w:ascii="Calibri" w:hAnsi="Calibri" w:cs="Calibri"/>
          <w:i w:val="0"/>
          <w:iCs w:val="0"/>
          <w:caps w:val="0"/>
          <w:color w:val="000000"/>
          <w:spacing w:val="0"/>
          <w:sz w:val="24"/>
          <w:szCs w:val="24"/>
        </w:rPr>
      </w:pPr>
    </w:p>
    <w:p w14:paraId="1D971AA3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80" w:lineRule="atLeast"/>
        <w:ind w:left="0" w:right="0" w:firstLine="0"/>
        <w:jc w:val="both"/>
        <w:rPr>
          <w:rFonts w:hint="default" w:ascii="Calibri" w:hAnsi="Calibri" w:cs="Calibri"/>
          <w:i w:val="0"/>
          <w:iCs w:val="0"/>
          <w:caps w:val="0"/>
          <w:color w:val="000000"/>
          <w:spacing w:val="0"/>
          <w:sz w:val="24"/>
          <w:szCs w:val="24"/>
        </w:rPr>
      </w:pPr>
    </w:p>
    <w:p w14:paraId="5F3EB9EC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80" w:lineRule="atLeast"/>
        <w:ind w:left="0" w:right="0" w:firstLine="0"/>
        <w:jc w:val="both"/>
        <w:rPr>
          <w:rFonts w:hint="default" w:ascii="Calibri" w:hAnsi="Calibri" w:cs="Calibri"/>
          <w:i w:val="0"/>
          <w:iCs w:val="0"/>
          <w:caps w:val="0"/>
          <w:color w:val="000000"/>
          <w:spacing w:val="0"/>
          <w:sz w:val="24"/>
          <w:szCs w:val="24"/>
        </w:rPr>
      </w:pPr>
    </w:p>
    <w:p w14:paraId="049E17E1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80" w:lineRule="atLeast"/>
        <w:ind w:left="0" w:right="0" w:firstLine="0"/>
        <w:jc w:val="both"/>
        <w:rPr>
          <w:rFonts w:hint="default" w:ascii="Calibri" w:hAnsi="Calibri" w:cs="Calibri"/>
          <w:i w:val="0"/>
          <w:iCs w:val="0"/>
          <w:caps w:val="0"/>
          <w:color w:val="000000"/>
          <w:spacing w:val="0"/>
          <w:sz w:val="24"/>
          <w:szCs w:val="24"/>
        </w:rPr>
      </w:pPr>
    </w:p>
    <w:p w14:paraId="46DD801B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80" w:lineRule="atLeast"/>
        <w:ind w:left="0" w:right="0" w:firstLine="0"/>
        <w:jc w:val="both"/>
        <w:rPr>
          <w:rFonts w:hint="default" w:ascii="Calibri" w:hAnsi="Calibri" w:cs="Calibri"/>
          <w:i w:val="0"/>
          <w:iCs w:val="0"/>
          <w:caps w:val="0"/>
          <w:color w:val="000000"/>
          <w:spacing w:val="0"/>
          <w:sz w:val="24"/>
          <w:szCs w:val="24"/>
        </w:rPr>
      </w:pPr>
    </w:p>
    <w:p w14:paraId="7A4F6904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80" w:lineRule="atLeast"/>
        <w:ind w:left="0" w:right="0" w:firstLine="0"/>
        <w:jc w:val="both"/>
        <w:rPr>
          <w:rFonts w:hint="default" w:ascii="Calibri" w:hAnsi="Calibri" w:cs="Calibri"/>
          <w:i w:val="0"/>
          <w:iCs w:val="0"/>
          <w:caps w:val="0"/>
          <w:color w:val="000000"/>
          <w:spacing w:val="0"/>
          <w:sz w:val="24"/>
          <w:szCs w:val="24"/>
        </w:rPr>
      </w:pPr>
    </w:p>
    <w:p w14:paraId="5F11D376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80" w:lineRule="atLeast"/>
        <w:ind w:left="0" w:right="0" w:firstLine="0"/>
        <w:jc w:val="both"/>
        <w:rPr>
          <w:rFonts w:hint="default" w:ascii="Calibri" w:hAnsi="Calibri" w:cs="Calibri"/>
          <w:i w:val="0"/>
          <w:iCs w:val="0"/>
          <w:caps w:val="0"/>
          <w:color w:val="000000"/>
          <w:spacing w:val="0"/>
          <w:sz w:val="24"/>
          <w:szCs w:val="24"/>
        </w:rPr>
      </w:pPr>
    </w:p>
    <w:p w14:paraId="71528853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80" w:lineRule="atLeast"/>
        <w:ind w:left="0" w:right="0" w:firstLine="0"/>
        <w:jc w:val="both"/>
        <w:rPr>
          <w:rFonts w:hint="default" w:ascii="Calibri" w:hAnsi="Calibri" w:cs="Calibri"/>
          <w:i w:val="0"/>
          <w:iCs w:val="0"/>
          <w:caps w:val="0"/>
          <w:color w:val="000000"/>
          <w:spacing w:val="0"/>
          <w:sz w:val="24"/>
          <w:szCs w:val="24"/>
        </w:rPr>
      </w:pPr>
    </w:p>
    <w:p w14:paraId="189B91EA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</w:p>
    <w:p w14:paraId="37A25FFE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</w:p>
    <w:p w14:paraId="4128C297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</w:p>
    <w:p w14:paraId="4F845645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</w:p>
    <w:p w14:paraId="3313B852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</w:p>
    <w:p w14:paraId="30E61ACB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</w:p>
    <w:p w14:paraId="19CE98A4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</w:p>
    <w:p w14:paraId="24C1F039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 xml:space="preserve">附件1-1 </w:t>
      </w:r>
    </w:p>
    <w:p w14:paraId="29EE5013">
      <w:pPr>
        <w:keepNext w:val="0"/>
        <w:keepLines w:val="0"/>
        <w:pageBreakBefore w:val="0"/>
        <w:widowControl/>
        <w:tabs>
          <w:tab w:val="left" w:pos="3611"/>
          <w:tab w:val="left" w:pos="4791"/>
          <w:tab w:val="left" w:pos="5951"/>
          <w:tab w:val="left" w:pos="7071"/>
          <w:tab w:val="left" w:pos="8191"/>
          <w:tab w:val="left" w:pos="931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91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000000"/>
          <w:kern w:val="0"/>
          <w:sz w:val="36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36"/>
          <w:szCs w:val="36"/>
          <w:lang w:val="en-US" w:eastAsia="zh-CN"/>
        </w:rPr>
        <w:t>部门整体支出绩效评价基础数据表</w:t>
      </w:r>
    </w:p>
    <w:p w14:paraId="7A94454D">
      <w:pPr>
        <w:widowControl/>
        <w:tabs>
          <w:tab w:val="left" w:pos="3611"/>
          <w:tab w:val="left" w:pos="4791"/>
          <w:tab w:val="left" w:pos="5951"/>
          <w:tab w:val="left" w:pos="7071"/>
          <w:tab w:val="left" w:pos="8191"/>
          <w:tab w:val="left" w:pos="9311"/>
        </w:tabs>
        <w:ind w:left="91"/>
        <w:jc w:val="left"/>
        <w:rPr>
          <w:rFonts w:hint="default" w:eastAsia="仿宋_GB2312"/>
          <w:kern w:val="0"/>
          <w:sz w:val="24"/>
          <w:lang w:val="en-US" w:eastAsia="zh-CN"/>
        </w:rPr>
      </w:pPr>
      <w:r>
        <w:rPr>
          <w:rFonts w:hint="eastAsia" w:eastAsia="仿宋_GB2312"/>
          <w:kern w:val="0"/>
          <w:sz w:val="24"/>
          <w:lang w:val="en-US" w:eastAsia="zh-CN"/>
        </w:rPr>
        <w:t xml:space="preserve">填报单位：会同县统战部                                        </w:t>
      </w:r>
    </w:p>
    <w:tbl>
      <w:tblPr>
        <w:tblStyle w:val="6"/>
        <w:tblW w:w="946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54"/>
        <w:gridCol w:w="1189"/>
        <w:gridCol w:w="849"/>
        <w:gridCol w:w="1129"/>
        <w:gridCol w:w="1111"/>
        <w:gridCol w:w="969"/>
        <w:gridCol w:w="863"/>
      </w:tblGrid>
      <w:tr w14:paraId="40B37D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vMerge w:val="restart"/>
            <w:noWrap w:val="0"/>
            <w:vAlign w:val="center"/>
          </w:tcPr>
          <w:p w14:paraId="5358ADB6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财政供养人员情况</w:t>
            </w:r>
          </w:p>
        </w:tc>
        <w:tc>
          <w:tcPr>
            <w:tcW w:w="2038" w:type="dxa"/>
            <w:gridSpan w:val="2"/>
            <w:noWrap w:val="0"/>
            <w:vAlign w:val="center"/>
          </w:tcPr>
          <w:p w14:paraId="576C6FD7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编制数</w:t>
            </w:r>
          </w:p>
        </w:tc>
        <w:tc>
          <w:tcPr>
            <w:tcW w:w="2240" w:type="dxa"/>
            <w:gridSpan w:val="2"/>
            <w:noWrap w:val="0"/>
            <w:vAlign w:val="center"/>
          </w:tcPr>
          <w:p w14:paraId="4D18209D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20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lang w:val="en-US" w:eastAsia="zh-CN"/>
              </w:rPr>
              <w:t>23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年实际在职人数</w:t>
            </w:r>
          </w:p>
        </w:tc>
        <w:tc>
          <w:tcPr>
            <w:tcW w:w="1832" w:type="dxa"/>
            <w:gridSpan w:val="2"/>
            <w:noWrap w:val="0"/>
            <w:vAlign w:val="center"/>
          </w:tcPr>
          <w:p w14:paraId="1E461396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控制率</w:t>
            </w:r>
          </w:p>
        </w:tc>
      </w:tr>
      <w:tr w14:paraId="1D1E7F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2" w:hRule="atLeast"/>
          <w:jc w:val="center"/>
        </w:trPr>
        <w:tc>
          <w:tcPr>
            <w:tcW w:w="3354" w:type="dxa"/>
            <w:vMerge w:val="continue"/>
            <w:noWrap w:val="0"/>
            <w:vAlign w:val="center"/>
          </w:tcPr>
          <w:p w14:paraId="6637E7A4">
            <w:pPr>
              <w:widowControl/>
              <w:jc w:val="left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</w:p>
        </w:tc>
        <w:tc>
          <w:tcPr>
            <w:tcW w:w="2038" w:type="dxa"/>
            <w:gridSpan w:val="2"/>
            <w:noWrap w:val="0"/>
            <w:vAlign w:val="center"/>
          </w:tcPr>
          <w:p w14:paraId="68E651A4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lang w:val="en-US" w:eastAsia="zh-CN"/>
              </w:rPr>
              <w:t>16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noWrap w:val="0"/>
            <w:vAlign w:val="center"/>
          </w:tcPr>
          <w:p w14:paraId="1847685B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lang w:val="en-US" w:eastAsia="zh-CN"/>
              </w:rPr>
              <w:t>16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　</w:t>
            </w:r>
          </w:p>
        </w:tc>
        <w:tc>
          <w:tcPr>
            <w:tcW w:w="1832" w:type="dxa"/>
            <w:gridSpan w:val="2"/>
            <w:noWrap w:val="0"/>
            <w:vAlign w:val="center"/>
          </w:tcPr>
          <w:p w14:paraId="3652A9F9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lang w:val="en-US" w:eastAsia="zh-CN"/>
              </w:rPr>
              <w:t>100%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　</w:t>
            </w:r>
          </w:p>
        </w:tc>
      </w:tr>
      <w:tr w14:paraId="4075E7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noWrap w:val="0"/>
            <w:vAlign w:val="center"/>
          </w:tcPr>
          <w:p w14:paraId="13098078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经费控制情况</w:t>
            </w:r>
          </w:p>
        </w:tc>
        <w:tc>
          <w:tcPr>
            <w:tcW w:w="2038" w:type="dxa"/>
            <w:gridSpan w:val="2"/>
            <w:noWrap w:val="0"/>
            <w:vAlign w:val="center"/>
          </w:tcPr>
          <w:p w14:paraId="0B37EDE9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20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lang w:val="en-US" w:eastAsia="zh-CN"/>
              </w:rPr>
              <w:t>22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年决算数</w:t>
            </w:r>
          </w:p>
        </w:tc>
        <w:tc>
          <w:tcPr>
            <w:tcW w:w="2240" w:type="dxa"/>
            <w:gridSpan w:val="2"/>
            <w:noWrap w:val="0"/>
            <w:vAlign w:val="center"/>
          </w:tcPr>
          <w:p w14:paraId="48C1F66B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20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lang w:val="en-US" w:eastAsia="zh-CN"/>
              </w:rPr>
              <w:t>23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年预算数</w:t>
            </w:r>
          </w:p>
        </w:tc>
        <w:tc>
          <w:tcPr>
            <w:tcW w:w="1832" w:type="dxa"/>
            <w:gridSpan w:val="2"/>
            <w:noWrap w:val="0"/>
            <w:vAlign w:val="center"/>
          </w:tcPr>
          <w:p w14:paraId="3659E180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20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lang w:val="en-US" w:eastAsia="zh-CN"/>
              </w:rPr>
              <w:t>23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年决算数</w:t>
            </w:r>
          </w:p>
        </w:tc>
      </w:tr>
      <w:tr w14:paraId="2765F5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noWrap w:val="0"/>
            <w:vAlign w:val="center"/>
          </w:tcPr>
          <w:p w14:paraId="67FAC208">
            <w:pPr>
              <w:widowControl/>
              <w:jc w:val="left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三公经费</w:t>
            </w:r>
          </w:p>
        </w:tc>
        <w:tc>
          <w:tcPr>
            <w:tcW w:w="2038" w:type="dxa"/>
            <w:gridSpan w:val="2"/>
            <w:noWrap w:val="0"/>
            <w:vAlign w:val="center"/>
          </w:tcPr>
          <w:p w14:paraId="43163BC1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lang w:val="en-US" w:eastAsia="zh-CN"/>
              </w:rPr>
              <w:t>3.4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noWrap w:val="0"/>
            <w:vAlign w:val="center"/>
          </w:tcPr>
          <w:p w14:paraId="610C2DDE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lang w:val="en-US" w:eastAsia="zh-CN"/>
              </w:rPr>
              <w:t>9.4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　</w:t>
            </w:r>
          </w:p>
        </w:tc>
        <w:tc>
          <w:tcPr>
            <w:tcW w:w="1832" w:type="dxa"/>
            <w:gridSpan w:val="2"/>
            <w:noWrap w:val="0"/>
            <w:vAlign w:val="center"/>
          </w:tcPr>
          <w:p w14:paraId="20FCE71C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lang w:val="en-US" w:eastAsia="zh-CN"/>
              </w:rPr>
              <w:t>1.37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　</w:t>
            </w:r>
          </w:p>
        </w:tc>
      </w:tr>
      <w:tr w14:paraId="19DDD5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noWrap w:val="0"/>
            <w:vAlign w:val="center"/>
          </w:tcPr>
          <w:p w14:paraId="34A9F44F">
            <w:pPr>
              <w:widowControl/>
              <w:jc w:val="left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 xml:space="preserve">   1、公务用车购置和维护经费</w:t>
            </w:r>
          </w:p>
        </w:tc>
        <w:tc>
          <w:tcPr>
            <w:tcW w:w="2038" w:type="dxa"/>
            <w:gridSpan w:val="2"/>
            <w:noWrap w:val="0"/>
            <w:vAlign w:val="center"/>
          </w:tcPr>
          <w:p w14:paraId="332AC833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noWrap w:val="0"/>
            <w:vAlign w:val="center"/>
          </w:tcPr>
          <w:p w14:paraId="3829BA07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lang w:val="en-US" w:eastAsia="zh-CN"/>
              </w:rPr>
              <w:t>0.5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　</w:t>
            </w:r>
          </w:p>
        </w:tc>
        <w:tc>
          <w:tcPr>
            <w:tcW w:w="1832" w:type="dxa"/>
            <w:gridSpan w:val="2"/>
            <w:noWrap w:val="0"/>
            <w:vAlign w:val="center"/>
          </w:tcPr>
          <w:p w14:paraId="04AF20B7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　</w:t>
            </w:r>
          </w:p>
        </w:tc>
      </w:tr>
      <w:tr w14:paraId="272151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noWrap w:val="0"/>
            <w:vAlign w:val="center"/>
          </w:tcPr>
          <w:p w14:paraId="0B79C187">
            <w:pPr>
              <w:widowControl/>
              <w:jc w:val="left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 xml:space="preserve">       其中：公车购置</w:t>
            </w:r>
          </w:p>
        </w:tc>
        <w:tc>
          <w:tcPr>
            <w:tcW w:w="2038" w:type="dxa"/>
            <w:gridSpan w:val="2"/>
            <w:noWrap w:val="0"/>
            <w:vAlign w:val="center"/>
          </w:tcPr>
          <w:p w14:paraId="756B1853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noWrap w:val="0"/>
            <w:vAlign w:val="center"/>
          </w:tcPr>
          <w:p w14:paraId="03DA2BC8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　</w:t>
            </w:r>
          </w:p>
        </w:tc>
        <w:tc>
          <w:tcPr>
            <w:tcW w:w="1832" w:type="dxa"/>
            <w:gridSpan w:val="2"/>
            <w:noWrap w:val="0"/>
            <w:vAlign w:val="center"/>
          </w:tcPr>
          <w:p w14:paraId="5B06EB82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　</w:t>
            </w:r>
          </w:p>
        </w:tc>
      </w:tr>
      <w:tr w14:paraId="7DEF55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noWrap w:val="0"/>
            <w:vAlign w:val="center"/>
          </w:tcPr>
          <w:p w14:paraId="34324DF1">
            <w:pPr>
              <w:widowControl/>
              <w:jc w:val="left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 xml:space="preserve">             公车运行维护</w:t>
            </w:r>
          </w:p>
        </w:tc>
        <w:tc>
          <w:tcPr>
            <w:tcW w:w="2038" w:type="dxa"/>
            <w:gridSpan w:val="2"/>
            <w:noWrap w:val="0"/>
            <w:vAlign w:val="center"/>
          </w:tcPr>
          <w:p w14:paraId="5911FD59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noWrap w:val="0"/>
            <w:vAlign w:val="center"/>
          </w:tcPr>
          <w:p w14:paraId="459E6858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　</w:t>
            </w:r>
          </w:p>
        </w:tc>
        <w:tc>
          <w:tcPr>
            <w:tcW w:w="1832" w:type="dxa"/>
            <w:gridSpan w:val="2"/>
            <w:noWrap w:val="0"/>
            <w:vAlign w:val="center"/>
          </w:tcPr>
          <w:p w14:paraId="771C7CD2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　</w:t>
            </w:r>
          </w:p>
        </w:tc>
      </w:tr>
      <w:tr w14:paraId="0F861C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noWrap w:val="0"/>
            <w:vAlign w:val="center"/>
          </w:tcPr>
          <w:p w14:paraId="3872C1A8">
            <w:pPr>
              <w:widowControl/>
              <w:jc w:val="left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 xml:space="preserve">   2、出国经费</w:t>
            </w:r>
          </w:p>
        </w:tc>
        <w:tc>
          <w:tcPr>
            <w:tcW w:w="2038" w:type="dxa"/>
            <w:gridSpan w:val="2"/>
            <w:noWrap w:val="0"/>
            <w:vAlign w:val="center"/>
          </w:tcPr>
          <w:p w14:paraId="05A52075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noWrap w:val="0"/>
            <w:vAlign w:val="center"/>
          </w:tcPr>
          <w:p w14:paraId="6449040E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　</w:t>
            </w:r>
          </w:p>
        </w:tc>
        <w:tc>
          <w:tcPr>
            <w:tcW w:w="1832" w:type="dxa"/>
            <w:gridSpan w:val="2"/>
            <w:noWrap w:val="0"/>
            <w:vAlign w:val="center"/>
          </w:tcPr>
          <w:p w14:paraId="5AA234A1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　</w:t>
            </w:r>
          </w:p>
        </w:tc>
      </w:tr>
      <w:tr w14:paraId="299BB0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noWrap w:val="0"/>
            <w:vAlign w:val="center"/>
          </w:tcPr>
          <w:p w14:paraId="1223DFFB">
            <w:pPr>
              <w:widowControl/>
              <w:jc w:val="left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 xml:space="preserve">   3、公务接待</w:t>
            </w:r>
          </w:p>
        </w:tc>
        <w:tc>
          <w:tcPr>
            <w:tcW w:w="2038" w:type="dxa"/>
            <w:gridSpan w:val="2"/>
            <w:noWrap w:val="0"/>
            <w:vAlign w:val="center"/>
          </w:tcPr>
          <w:p w14:paraId="30D1BF96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lang w:val="en-US" w:eastAsia="zh-CN"/>
              </w:rPr>
              <w:t>3.4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noWrap w:val="0"/>
            <w:vAlign w:val="center"/>
          </w:tcPr>
          <w:p w14:paraId="7A74255C">
            <w:pPr>
              <w:widowControl/>
              <w:jc w:val="center"/>
              <w:rPr>
                <w:rFonts w:hint="default" w:ascii="仿宋" w:hAnsi="仿宋" w:eastAsia="仿宋" w:cs="仿宋"/>
                <w:b w:val="0"/>
                <w:bCs w:val="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lang w:val="en-US" w:eastAsia="zh-CN"/>
              </w:rPr>
              <w:t>8.9</w:t>
            </w:r>
          </w:p>
        </w:tc>
        <w:tc>
          <w:tcPr>
            <w:tcW w:w="1832" w:type="dxa"/>
            <w:gridSpan w:val="2"/>
            <w:noWrap w:val="0"/>
            <w:vAlign w:val="center"/>
          </w:tcPr>
          <w:p w14:paraId="7D5527AC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lang w:val="en-US" w:eastAsia="zh-CN"/>
              </w:rPr>
              <w:t>1.37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　</w:t>
            </w:r>
          </w:p>
        </w:tc>
      </w:tr>
      <w:tr w14:paraId="3FDFCA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noWrap w:val="0"/>
            <w:vAlign w:val="center"/>
          </w:tcPr>
          <w:p w14:paraId="5B14B071">
            <w:pPr>
              <w:widowControl/>
              <w:jc w:val="left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项目支出：</w:t>
            </w:r>
          </w:p>
        </w:tc>
        <w:tc>
          <w:tcPr>
            <w:tcW w:w="2038" w:type="dxa"/>
            <w:gridSpan w:val="2"/>
            <w:noWrap w:val="0"/>
            <w:vAlign w:val="center"/>
          </w:tcPr>
          <w:p w14:paraId="4FC7FB08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noWrap w:val="0"/>
            <w:vAlign w:val="center"/>
          </w:tcPr>
          <w:p w14:paraId="542999DC">
            <w:pPr>
              <w:widowControl/>
              <w:jc w:val="center"/>
              <w:rPr>
                <w:rFonts w:hint="default" w:ascii="仿宋" w:hAnsi="仿宋" w:eastAsia="仿宋" w:cs="仿宋"/>
                <w:b w:val="0"/>
                <w:bCs w:val="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lang w:val="en-US" w:eastAsia="zh-CN"/>
              </w:rPr>
              <w:t>31.7</w:t>
            </w:r>
          </w:p>
        </w:tc>
        <w:tc>
          <w:tcPr>
            <w:tcW w:w="1832" w:type="dxa"/>
            <w:gridSpan w:val="2"/>
            <w:noWrap w:val="0"/>
            <w:vAlign w:val="center"/>
          </w:tcPr>
          <w:p w14:paraId="751496DD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lang w:val="en-US" w:eastAsia="zh-CN"/>
              </w:rPr>
              <w:t>124.97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　</w:t>
            </w:r>
          </w:p>
        </w:tc>
      </w:tr>
      <w:tr w14:paraId="143226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noWrap w:val="0"/>
            <w:vAlign w:val="center"/>
          </w:tcPr>
          <w:p w14:paraId="1FD5953F">
            <w:pPr>
              <w:widowControl/>
              <w:jc w:val="left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 xml:space="preserve">    1、业务工作经费</w:t>
            </w:r>
          </w:p>
        </w:tc>
        <w:tc>
          <w:tcPr>
            <w:tcW w:w="2038" w:type="dxa"/>
            <w:gridSpan w:val="2"/>
            <w:noWrap w:val="0"/>
            <w:vAlign w:val="center"/>
          </w:tcPr>
          <w:p w14:paraId="7BFED584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noWrap w:val="0"/>
            <w:vAlign w:val="center"/>
          </w:tcPr>
          <w:p w14:paraId="24E8ECC1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lang w:val="en-US" w:eastAsia="zh-CN"/>
              </w:rPr>
              <w:t>31.7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　</w:t>
            </w:r>
          </w:p>
        </w:tc>
        <w:tc>
          <w:tcPr>
            <w:tcW w:w="1832" w:type="dxa"/>
            <w:gridSpan w:val="2"/>
            <w:noWrap w:val="0"/>
            <w:vAlign w:val="center"/>
          </w:tcPr>
          <w:p w14:paraId="4A528CB4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124.97　</w:t>
            </w:r>
          </w:p>
        </w:tc>
      </w:tr>
      <w:tr w14:paraId="740B98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noWrap w:val="0"/>
            <w:vAlign w:val="center"/>
          </w:tcPr>
          <w:p w14:paraId="2751A792">
            <w:pPr>
              <w:widowControl/>
              <w:jc w:val="left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 xml:space="preserve">    2、运行维护经费</w:t>
            </w:r>
          </w:p>
        </w:tc>
        <w:tc>
          <w:tcPr>
            <w:tcW w:w="2038" w:type="dxa"/>
            <w:gridSpan w:val="2"/>
            <w:noWrap w:val="0"/>
            <w:vAlign w:val="center"/>
          </w:tcPr>
          <w:p w14:paraId="21B9A917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noWrap w:val="0"/>
            <w:vAlign w:val="center"/>
          </w:tcPr>
          <w:p w14:paraId="7519B5B7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　</w:t>
            </w:r>
          </w:p>
        </w:tc>
        <w:tc>
          <w:tcPr>
            <w:tcW w:w="1832" w:type="dxa"/>
            <w:gridSpan w:val="2"/>
            <w:noWrap w:val="0"/>
            <w:vAlign w:val="center"/>
          </w:tcPr>
          <w:p w14:paraId="02249DF0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　</w:t>
            </w:r>
          </w:p>
        </w:tc>
      </w:tr>
      <w:tr w14:paraId="7CBB9F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3354" w:type="dxa"/>
            <w:noWrap w:val="0"/>
            <w:vAlign w:val="center"/>
          </w:tcPr>
          <w:p w14:paraId="52903B8D">
            <w:pPr>
              <w:widowControl/>
              <w:ind w:firstLine="400" w:firstLineChars="200"/>
              <w:jc w:val="left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3、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lang w:val="en-US" w:eastAsia="zh-CN"/>
              </w:rPr>
              <w:t>市级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专项资金</w:t>
            </w:r>
          </w:p>
          <w:p w14:paraId="12B125A4">
            <w:pPr>
              <w:widowControl/>
              <w:ind w:firstLine="600" w:firstLineChars="300"/>
              <w:jc w:val="left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（一个专项一行）</w:t>
            </w:r>
          </w:p>
        </w:tc>
        <w:tc>
          <w:tcPr>
            <w:tcW w:w="2038" w:type="dxa"/>
            <w:gridSpan w:val="2"/>
            <w:noWrap w:val="0"/>
            <w:vAlign w:val="center"/>
          </w:tcPr>
          <w:p w14:paraId="76A76E98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</w:p>
        </w:tc>
        <w:tc>
          <w:tcPr>
            <w:tcW w:w="2240" w:type="dxa"/>
            <w:gridSpan w:val="2"/>
            <w:noWrap w:val="0"/>
            <w:vAlign w:val="center"/>
          </w:tcPr>
          <w:p w14:paraId="67CAB791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</w:p>
        </w:tc>
        <w:tc>
          <w:tcPr>
            <w:tcW w:w="1832" w:type="dxa"/>
            <w:gridSpan w:val="2"/>
            <w:noWrap w:val="0"/>
            <w:vAlign w:val="center"/>
          </w:tcPr>
          <w:p w14:paraId="279A7946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</w:p>
        </w:tc>
      </w:tr>
      <w:tr w14:paraId="431CD0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noWrap w:val="0"/>
            <w:vAlign w:val="center"/>
          </w:tcPr>
          <w:p w14:paraId="3AB85F2C">
            <w:pPr>
              <w:widowControl/>
              <w:ind w:firstLine="400" w:firstLineChars="200"/>
              <w:jc w:val="left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4、其他事业类发展资金</w:t>
            </w:r>
          </w:p>
        </w:tc>
        <w:tc>
          <w:tcPr>
            <w:tcW w:w="2038" w:type="dxa"/>
            <w:gridSpan w:val="2"/>
            <w:noWrap w:val="0"/>
            <w:vAlign w:val="center"/>
          </w:tcPr>
          <w:p w14:paraId="174CABBB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noWrap w:val="0"/>
            <w:vAlign w:val="center"/>
          </w:tcPr>
          <w:p w14:paraId="74F80134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　</w:t>
            </w:r>
          </w:p>
        </w:tc>
        <w:tc>
          <w:tcPr>
            <w:tcW w:w="1832" w:type="dxa"/>
            <w:gridSpan w:val="2"/>
            <w:noWrap w:val="0"/>
            <w:vAlign w:val="center"/>
          </w:tcPr>
          <w:p w14:paraId="1770399C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　</w:t>
            </w:r>
          </w:p>
        </w:tc>
      </w:tr>
      <w:tr w14:paraId="0F8790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" w:hRule="atLeast"/>
          <w:jc w:val="center"/>
        </w:trPr>
        <w:tc>
          <w:tcPr>
            <w:tcW w:w="3354" w:type="dxa"/>
            <w:noWrap w:val="0"/>
            <w:vAlign w:val="center"/>
          </w:tcPr>
          <w:p w14:paraId="2F1B94C6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……</w:t>
            </w:r>
          </w:p>
        </w:tc>
        <w:tc>
          <w:tcPr>
            <w:tcW w:w="2038" w:type="dxa"/>
            <w:gridSpan w:val="2"/>
            <w:noWrap w:val="0"/>
            <w:vAlign w:val="center"/>
          </w:tcPr>
          <w:p w14:paraId="17C83158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</w:p>
        </w:tc>
        <w:tc>
          <w:tcPr>
            <w:tcW w:w="2240" w:type="dxa"/>
            <w:gridSpan w:val="2"/>
            <w:noWrap w:val="0"/>
            <w:vAlign w:val="center"/>
          </w:tcPr>
          <w:p w14:paraId="34359052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</w:p>
        </w:tc>
        <w:tc>
          <w:tcPr>
            <w:tcW w:w="1832" w:type="dxa"/>
            <w:gridSpan w:val="2"/>
            <w:noWrap w:val="0"/>
            <w:vAlign w:val="center"/>
          </w:tcPr>
          <w:p w14:paraId="20F3B76B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</w:p>
        </w:tc>
      </w:tr>
      <w:tr w14:paraId="3F7D7E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noWrap w:val="0"/>
            <w:vAlign w:val="center"/>
          </w:tcPr>
          <w:p w14:paraId="4DF2171D">
            <w:pPr>
              <w:widowControl/>
              <w:jc w:val="left"/>
              <w:rPr>
                <w:rFonts w:hint="default" w:ascii="仿宋" w:hAnsi="仿宋" w:eastAsia="仿宋" w:cs="仿宋"/>
                <w:b w:val="0"/>
                <w:bCs w:val="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lang w:val="en-US" w:eastAsia="zh-CN"/>
              </w:rPr>
              <w:t>公用经费</w:t>
            </w:r>
          </w:p>
        </w:tc>
        <w:tc>
          <w:tcPr>
            <w:tcW w:w="2038" w:type="dxa"/>
            <w:gridSpan w:val="2"/>
            <w:noWrap w:val="0"/>
            <w:vAlign w:val="center"/>
          </w:tcPr>
          <w:p w14:paraId="0DBD35C3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noWrap w:val="0"/>
            <w:vAlign w:val="center"/>
          </w:tcPr>
          <w:p w14:paraId="150A0C86">
            <w:pPr>
              <w:widowControl/>
              <w:jc w:val="center"/>
              <w:rPr>
                <w:rFonts w:hint="default" w:ascii="仿宋" w:hAnsi="仿宋" w:eastAsia="仿宋" w:cs="仿宋"/>
                <w:b w:val="0"/>
                <w:bCs w:val="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lang w:val="en-US" w:eastAsia="zh-CN"/>
              </w:rPr>
              <w:t>27.5</w:t>
            </w:r>
          </w:p>
        </w:tc>
        <w:tc>
          <w:tcPr>
            <w:tcW w:w="1832" w:type="dxa"/>
            <w:gridSpan w:val="2"/>
            <w:noWrap w:val="0"/>
            <w:vAlign w:val="center"/>
          </w:tcPr>
          <w:p w14:paraId="38ED1622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45.08　</w:t>
            </w:r>
          </w:p>
        </w:tc>
      </w:tr>
      <w:tr w14:paraId="6DD3E1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noWrap w:val="0"/>
            <w:vAlign w:val="center"/>
          </w:tcPr>
          <w:p w14:paraId="5C5FAAEF">
            <w:pPr>
              <w:widowControl/>
              <w:jc w:val="left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 xml:space="preserve">    其中：办公费</w:t>
            </w:r>
          </w:p>
        </w:tc>
        <w:tc>
          <w:tcPr>
            <w:tcW w:w="2038" w:type="dxa"/>
            <w:gridSpan w:val="2"/>
            <w:noWrap w:val="0"/>
            <w:vAlign w:val="center"/>
          </w:tcPr>
          <w:p w14:paraId="369E9E4D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color w:val="FF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FF0000"/>
                <w:kern w:val="0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noWrap w:val="0"/>
            <w:vAlign w:val="center"/>
          </w:tcPr>
          <w:p w14:paraId="24D57B77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18.1　</w:t>
            </w:r>
          </w:p>
        </w:tc>
        <w:tc>
          <w:tcPr>
            <w:tcW w:w="1832" w:type="dxa"/>
            <w:gridSpan w:val="2"/>
            <w:noWrap w:val="0"/>
            <w:vAlign w:val="center"/>
          </w:tcPr>
          <w:p w14:paraId="2C677608">
            <w:pPr>
              <w:widowControl/>
              <w:jc w:val="center"/>
              <w:rPr>
                <w:rFonts w:hint="default" w:ascii="仿宋" w:hAnsi="仿宋" w:eastAsia="仿宋" w:cs="仿宋"/>
                <w:b w:val="0"/>
                <w:bCs w:val="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lang w:val="en-US" w:eastAsia="zh-CN"/>
              </w:rPr>
              <w:t>8.18</w:t>
            </w:r>
          </w:p>
        </w:tc>
      </w:tr>
      <w:tr w14:paraId="751CA8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noWrap w:val="0"/>
            <w:vAlign w:val="center"/>
          </w:tcPr>
          <w:p w14:paraId="2FB5B33A">
            <w:pPr>
              <w:widowControl/>
              <w:jc w:val="left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 xml:space="preserve">          水费、电费、差旅费</w:t>
            </w:r>
          </w:p>
        </w:tc>
        <w:tc>
          <w:tcPr>
            <w:tcW w:w="2038" w:type="dxa"/>
            <w:gridSpan w:val="2"/>
            <w:noWrap w:val="0"/>
            <w:vAlign w:val="center"/>
          </w:tcPr>
          <w:p w14:paraId="70190B4F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color w:val="FF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FF0000"/>
                <w:kern w:val="0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noWrap w:val="0"/>
            <w:vAlign w:val="center"/>
          </w:tcPr>
          <w:p w14:paraId="08FBC364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　</w:t>
            </w:r>
          </w:p>
        </w:tc>
        <w:tc>
          <w:tcPr>
            <w:tcW w:w="1832" w:type="dxa"/>
            <w:gridSpan w:val="2"/>
            <w:noWrap w:val="0"/>
            <w:vAlign w:val="center"/>
          </w:tcPr>
          <w:p w14:paraId="43BD12E1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lang w:val="en-US" w:eastAsia="zh-CN"/>
              </w:rPr>
              <w:t>6.47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　</w:t>
            </w:r>
          </w:p>
        </w:tc>
      </w:tr>
      <w:tr w14:paraId="6F5806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3354" w:type="dxa"/>
            <w:noWrap w:val="0"/>
            <w:vAlign w:val="center"/>
          </w:tcPr>
          <w:p w14:paraId="5362386A">
            <w:pPr>
              <w:widowControl/>
              <w:jc w:val="left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 xml:space="preserve">          会议费、培训费</w:t>
            </w:r>
          </w:p>
        </w:tc>
        <w:tc>
          <w:tcPr>
            <w:tcW w:w="2038" w:type="dxa"/>
            <w:gridSpan w:val="2"/>
            <w:noWrap w:val="0"/>
            <w:vAlign w:val="center"/>
          </w:tcPr>
          <w:p w14:paraId="0AC5A1EB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color w:val="FF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FF0000"/>
                <w:kern w:val="0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noWrap w:val="0"/>
            <w:vAlign w:val="center"/>
          </w:tcPr>
          <w:p w14:paraId="5B8B7598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　</w:t>
            </w:r>
          </w:p>
        </w:tc>
        <w:tc>
          <w:tcPr>
            <w:tcW w:w="1832" w:type="dxa"/>
            <w:gridSpan w:val="2"/>
            <w:noWrap w:val="0"/>
            <w:vAlign w:val="center"/>
          </w:tcPr>
          <w:p w14:paraId="4DD6FBBB">
            <w:pPr>
              <w:widowControl/>
              <w:jc w:val="center"/>
              <w:rPr>
                <w:rFonts w:hint="default" w:ascii="仿宋" w:hAnsi="仿宋" w:eastAsia="仿宋" w:cs="仿宋"/>
                <w:b w:val="0"/>
                <w:bCs w:val="0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lang w:val="en-US" w:eastAsia="zh-CN"/>
              </w:rPr>
              <w:t>1.45</w:t>
            </w:r>
          </w:p>
        </w:tc>
      </w:tr>
      <w:tr w14:paraId="5F5249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noWrap w:val="0"/>
            <w:vAlign w:val="center"/>
          </w:tcPr>
          <w:p w14:paraId="358DE256">
            <w:pPr>
              <w:widowControl/>
              <w:jc w:val="left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政府采购金额</w:t>
            </w:r>
          </w:p>
        </w:tc>
        <w:tc>
          <w:tcPr>
            <w:tcW w:w="2038" w:type="dxa"/>
            <w:gridSpan w:val="2"/>
            <w:noWrap w:val="0"/>
            <w:vAlign w:val="center"/>
          </w:tcPr>
          <w:p w14:paraId="1A9CA12A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——</w:t>
            </w:r>
          </w:p>
        </w:tc>
        <w:tc>
          <w:tcPr>
            <w:tcW w:w="2240" w:type="dxa"/>
            <w:gridSpan w:val="2"/>
            <w:noWrap w:val="0"/>
            <w:vAlign w:val="center"/>
          </w:tcPr>
          <w:p w14:paraId="4EACE36E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　</w:t>
            </w:r>
          </w:p>
        </w:tc>
        <w:tc>
          <w:tcPr>
            <w:tcW w:w="1832" w:type="dxa"/>
            <w:gridSpan w:val="2"/>
            <w:noWrap w:val="0"/>
            <w:vAlign w:val="center"/>
          </w:tcPr>
          <w:p w14:paraId="1A0C96B8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　</w:t>
            </w:r>
          </w:p>
        </w:tc>
      </w:tr>
      <w:tr w14:paraId="63E193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noWrap w:val="0"/>
            <w:vAlign w:val="center"/>
          </w:tcPr>
          <w:p w14:paraId="28ADC455">
            <w:pPr>
              <w:widowControl/>
              <w:jc w:val="left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 xml:space="preserve">部门基本支出预算调整 </w:t>
            </w:r>
          </w:p>
        </w:tc>
        <w:tc>
          <w:tcPr>
            <w:tcW w:w="2038" w:type="dxa"/>
            <w:gridSpan w:val="2"/>
            <w:noWrap w:val="0"/>
            <w:vAlign w:val="center"/>
          </w:tcPr>
          <w:p w14:paraId="0AAEB5CC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——</w:t>
            </w:r>
          </w:p>
        </w:tc>
        <w:tc>
          <w:tcPr>
            <w:tcW w:w="2240" w:type="dxa"/>
            <w:gridSpan w:val="2"/>
            <w:noWrap w:val="0"/>
            <w:vAlign w:val="center"/>
          </w:tcPr>
          <w:p w14:paraId="28EC5343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lang w:val="en-US" w:eastAsia="zh-CN"/>
              </w:rPr>
              <w:t>196.18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　</w:t>
            </w:r>
          </w:p>
        </w:tc>
        <w:tc>
          <w:tcPr>
            <w:tcW w:w="1832" w:type="dxa"/>
            <w:gridSpan w:val="2"/>
            <w:noWrap w:val="0"/>
            <w:vAlign w:val="center"/>
          </w:tcPr>
          <w:p w14:paraId="02AC6E68">
            <w:pPr>
              <w:widowControl/>
              <w:jc w:val="center"/>
              <w:rPr>
                <w:rFonts w:hint="default" w:ascii="仿宋" w:hAnsi="仿宋" w:eastAsia="仿宋" w:cs="仿宋"/>
                <w:b w:val="0"/>
                <w:bCs w:val="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lang w:val="en-US" w:eastAsia="zh-CN"/>
              </w:rPr>
              <w:t>246.52</w:t>
            </w:r>
          </w:p>
        </w:tc>
      </w:tr>
      <w:tr w14:paraId="45DD02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7" w:hRule="atLeast"/>
          <w:jc w:val="center"/>
        </w:trPr>
        <w:tc>
          <w:tcPr>
            <w:tcW w:w="3354" w:type="dxa"/>
            <w:vMerge w:val="restart"/>
            <w:noWrap w:val="0"/>
            <w:vAlign w:val="center"/>
          </w:tcPr>
          <w:p w14:paraId="0B7F5D25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楼堂馆所控制情况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（20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lang w:val="en-US" w:eastAsia="zh-CN"/>
              </w:rPr>
              <w:t>22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年完工项目）</w:t>
            </w:r>
          </w:p>
        </w:tc>
        <w:tc>
          <w:tcPr>
            <w:tcW w:w="1189" w:type="dxa"/>
            <w:noWrap w:val="0"/>
            <w:vAlign w:val="center"/>
          </w:tcPr>
          <w:p w14:paraId="7ACA6684"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批复规模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（㎡）</w:t>
            </w:r>
          </w:p>
        </w:tc>
        <w:tc>
          <w:tcPr>
            <w:tcW w:w="849" w:type="dxa"/>
            <w:noWrap w:val="0"/>
            <w:vAlign w:val="center"/>
          </w:tcPr>
          <w:p w14:paraId="0A8F2719"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实际规模（㎡）</w:t>
            </w:r>
          </w:p>
        </w:tc>
        <w:tc>
          <w:tcPr>
            <w:tcW w:w="1129" w:type="dxa"/>
            <w:noWrap w:val="0"/>
            <w:vAlign w:val="center"/>
          </w:tcPr>
          <w:p w14:paraId="65398EC0"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规模控制率</w:t>
            </w:r>
          </w:p>
        </w:tc>
        <w:tc>
          <w:tcPr>
            <w:tcW w:w="1111" w:type="dxa"/>
            <w:noWrap w:val="0"/>
            <w:vAlign w:val="center"/>
          </w:tcPr>
          <w:p w14:paraId="6296A982"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预算投资（万元）</w:t>
            </w:r>
          </w:p>
        </w:tc>
        <w:tc>
          <w:tcPr>
            <w:tcW w:w="969" w:type="dxa"/>
            <w:noWrap w:val="0"/>
            <w:vAlign w:val="center"/>
          </w:tcPr>
          <w:p w14:paraId="470D2BA9"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实际投资（万元）</w:t>
            </w:r>
          </w:p>
        </w:tc>
        <w:tc>
          <w:tcPr>
            <w:tcW w:w="863" w:type="dxa"/>
            <w:noWrap w:val="0"/>
            <w:vAlign w:val="center"/>
          </w:tcPr>
          <w:p w14:paraId="2612630A"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投资概算控制率</w:t>
            </w:r>
          </w:p>
        </w:tc>
      </w:tr>
      <w:tr w14:paraId="1695EA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  <w:jc w:val="center"/>
        </w:trPr>
        <w:tc>
          <w:tcPr>
            <w:tcW w:w="3354" w:type="dxa"/>
            <w:vMerge w:val="continue"/>
            <w:noWrap w:val="0"/>
            <w:vAlign w:val="center"/>
          </w:tcPr>
          <w:p w14:paraId="09CA60BA">
            <w:pPr>
              <w:widowControl/>
              <w:jc w:val="left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</w:p>
        </w:tc>
        <w:tc>
          <w:tcPr>
            <w:tcW w:w="1189" w:type="dxa"/>
            <w:noWrap w:val="0"/>
            <w:vAlign w:val="center"/>
          </w:tcPr>
          <w:p w14:paraId="33154F29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　</w:t>
            </w:r>
          </w:p>
        </w:tc>
        <w:tc>
          <w:tcPr>
            <w:tcW w:w="849" w:type="dxa"/>
            <w:noWrap w:val="0"/>
            <w:vAlign w:val="center"/>
          </w:tcPr>
          <w:p w14:paraId="259AE5DE">
            <w:pPr>
              <w:widowControl/>
              <w:jc w:val="left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　</w:t>
            </w:r>
          </w:p>
        </w:tc>
        <w:tc>
          <w:tcPr>
            <w:tcW w:w="1129" w:type="dxa"/>
            <w:noWrap w:val="0"/>
            <w:vAlign w:val="center"/>
          </w:tcPr>
          <w:p w14:paraId="1B4FA03A">
            <w:pPr>
              <w:widowControl/>
              <w:jc w:val="left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　</w:t>
            </w:r>
          </w:p>
        </w:tc>
        <w:tc>
          <w:tcPr>
            <w:tcW w:w="1111" w:type="dxa"/>
            <w:noWrap w:val="0"/>
            <w:vAlign w:val="center"/>
          </w:tcPr>
          <w:p w14:paraId="68F2DF5A">
            <w:pPr>
              <w:widowControl/>
              <w:jc w:val="left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　</w:t>
            </w:r>
          </w:p>
        </w:tc>
        <w:tc>
          <w:tcPr>
            <w:tcW w:w="969" w:type="dxa"/>
            <w:noWrap w:val="0"/>
            <w:vAlign w:val="center"/>
          </w:tcPr>
          <w:p w14:paraId="450A208E">
            <w:pPr>
              <w:widowControl/>
              <w:jc w:val="left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　</w:t>
            </w:r>
          </w:p>
        </w:tc>
        <w:tc>
          <w:tcPr>
            <w:tcW w:w="863" w:type="dxa"/>
            <w:noWrap w:val="0"/>
            <w:vAlign w:val="center"/>
          </w:tcPr>
          <w:p w14:paraId="52FC799B">
            <w:pPr>
              <w:widowControl/>
              <w:jc w:val="left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　</w:t>
            </w:r>
          </w:p>
        </w:tc>
      </w:tr>
      <w:tr w14:paraId="550C83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3354" w:type="dxa"/>
            <w:noWrap w:val="0"/>
            <w:vAlign w:val="center"/>
          </w:tcPr>
          <w:p w14:paraId="4DCD8179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厉行节约保障措施</w:t>
            </w:r>
          </w:p>
        </w:tc>
        <w:tc>
          <w:tcPr>
            <w:tcW w:w="6110" w:type="dxa"/>
            <w:gridSpan w:val="6"/>
            <w:noWrap w:val="0"/>
            <w:vAlign w:val="center"/>
          </w:tcPr>
          <w:p w14:paraId="157D61D6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严格控制一般性支出，压减非刚性、非重点和低效、无效支出，足额保障“三保”支出　　</w:t>
            </w:r>
          </w:p>
        </w:tc>
      </w:tr>
    </w:tbl>
    <w:p w14:paraId="4BC12FD5"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textAlignment w:val="auto"/>
        <w:rPr>
          <w:rFonts w:hint="eastAsia"/>
          <w:lang w:val="en-US" w:eastAsia="zh-CN"/>
        </w:rPr>
      </w:pPr>
      <w:r>
        <w:rPr>
          <w:rFonts w:eastAsia="仿宋_GB2312"/>
          <w:kern w:val="0"/>
          <w:sz w:val="22"/>
        </w:rPr>
        <w:t>说明：“项目支出”需要填报基本支出以外的所有项目支出情况，“公用经费”填报基本支出中的一般商品和服务支出。</w:t>
      </w:r>
    </w:p>
    <w:p w14:paraId="26420F31">
      <w:pPr>
        <w:widowControl w:val="0"/>
        <w:kinsoku/>
        <w:autoSpaceDE/>
        <w:autoSpaceDN/>
        <w:adjustRightInd/>
        <w:snapToGrid/>
        <w:spacing w:line="600" w:lineRule="exact"/>
        <w:jc w:val="both"/>
        <w:textAlignment w:val="auto"/>
        <w:rPr>
          <w:rFonts w:hint="default" w:ascii="方正小标宋_GBK" w:hAnsi="方正小标宋_GBK" w:eastAsia="方正小标宋_GBK" w:cs="方正小标宋_GBK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default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>填表人：</w:t>
      </w:r>
      <w:r>
        <w:rPr>
          <w:rFonts w:hint="eastAsia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>张洪睿</w:t>
      </w:r>
      <w:r>
        <w:rPr>
          <w:rFonts w:hint="eastAsia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 xml:space="preserve">          </w:t>
      </w:r>
      <w:r>
        <w:rPr>
          <w:rFonts w:hint="default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 xml:space="preserve"> 填报日期：</w:t>
      </w:r>
      <w:r>
        <w:rPr>
          <w:rFonts w:hint="eastAsia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 xml:space="preserve">2024年8月 </w:t>
      </w:r>
      <w:r>
        <w:rPr>
          <w:rFonts w:hint="eastAsia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 xml:space="preserve">    </w:t>
      </w:r>
      <w:r>
        <w:rPr>
          <w:rFonts w:hint="default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 xml:space="preserve"> 联系电话：</w:t>
      </w:r>
      <w:r>
        <w:rPr>
          <w:rFonts w:hint="eastAsia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>18692502998</w:t>
      </w:r>
      <w:r>
        <w:rPr>
          <w:rFonts w:hint="eastAsia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 xml:space="preserve"> </w:t>
      </w:r>
    </w:p>
    <w:p w14:paraId="4C3B6B79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</w:p>
    <w:p w14:paraId="064F207B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</w:p>
    <w:p w14:paraId="36EAE57C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附件1-2</w:t>
      </w:r>
    </w:p>
    <w:p w14:paraId="3DC0502E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80" w:lineRule="atLeast"/>
        <w:ind w:left="0" w:right="0" w:firstLine="0"/>
        <w:jc w:val="center"/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000000"/>
          <w:spacing w:val="0"/>
          <w:sz w:val="40"/>
          <w:szCs w:val="40"/>
          <w:shd w:val="clear" w:color="auto" w:fill="FFFFFF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000000"/>
          <w:spacing w:val="0"/>
          <w:sz w:val="40"/>
          <w:szCs w:val="40"/>
          <w:shd w:val="clear" w:color="auto" w:fill="FFFFFF"/>
          <w:lang w:val="en-US" w:eastAsia="zh-CN"/>
        </w:rPr>
        <w:t>整体支出绩效自评表</w:t>
      </w:r>
    </w:p>
    <w:tbl>
      <w:tblPr>
        <w:tblStyle w:val="6"/>
        <w:tblW w:w="92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45"/>
        <w:gridCol w:w="1092"/>
        <w:gridCol w:w="1009"/>
        <w:gridCol w:w="1141"/>
        <w:gridCol w:w="387"/>
        <w:gridCol w:w="1091"/>
        <w:gridCol w:w="1227"/>
        <w:gridCol w:w="573"/>
        <w:gridCol w:w="709"/>
        <w:gridCol w:w="888"/>
      </w:tblGrid>
      <w:tr w14:paraId="4E7833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  <w:jc w:val="center"/>
        </w:trPr>
        <w:tc>
          <w:tcPr>
            <w:tcW w:w="1145" w:type="dxa"/>
            <w:noWrap w:val="0"/>
            <w:vAlign w:val="center"/>
          </w:tcPr>
          <w:p w14:paraId="1A08F66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预算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单位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名称</w:t>
            </w:r>
          </w:p>
        </w:tc>
        <w:tc>
          <w:tcPr>
            <w:tcW w:w="8117" w:type="dxa"/>
            <w:gridSpan w:val="9"/>
            <w:noWrap w:val="0"/>
            <w:vAlign w:val="center"/>
          </w:tcPr>
          <w:p w14:paraId="72AE188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会同县统战部 　</w:t>
            </w:r>
          </w:p>
        </w:tc>
      </w:tr>
      <w:tr w14:paraId="3F9DFE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145" w:type="dxa"/>
            <w:vMerge w:val="restart"/>
            <w:noWrap w:val="0"/>
            <w:vAlign w:val="center"/>
          </w:tcPr>
          <w:p w14:paraId="4AD3CC3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年度预</w:t>
            </w:r>
          </w:p>
          <w:p w14:paraId="06E7B17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算申请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（万元）</w:t>
            </w:r>
          </w:p>
        </w:tc>
        <w:tc>
          <w:tcPr>
            <w:tcW w:w="2101" w:type="dxa"/>
            <w:gridSpan w:val="2"/>
            <w:noWrap w:val="0"/>
            <w:vAlign w:val="center"/>
          </w:tcPr>
          <w:p w14:paraId="36F107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141" w:type="dxa"/>
            <w:noWrap w:val="0"/>
            <w:vAlign w:val="center"/>
          </w:tcPr>
          <w:p w14:paraId="1C7792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年初</w:t>
            </w:r>
          </w:p>
          <w:p w14:paraId="4D8F139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预算数</w:t>
            </w:r>
          </w:p>
        </w:tc>
        <w:tc>
          <w:tcPr>
            <w:tcW w:w="1478" w:type="dxa"/>
            <w:gridSpan w:val="2"/>
            <w:noWrap w:val="0"/>
            <w:vAlign w:val="center"/>
          </w:tcPr>
          <w:p w14:paraId="4B2CA7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全年预算数</w:t>
            </w:r>
          </w:p>
        </w:tc>
        <w:tc>
          <w:tcPr>
            <w:tcW w:w="1227" w:type="dxa"/>
            <w:noWrap w:val="0"/>
            <w:vAlign w:val="center"/>
          </w:tcPr>
          <w:p w14:paraId="7806C84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全年</w:t>
            </w:r>
          </w:p>
          <w:p w14:paraId="36A35D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执行数</w:t>
            </w:r>
          </w:p>
        </w:tc>
        <w:tc>
          <w:tcPr>
            <w:tcW w:w="573" w:type="dxa"/>
            <w:noWrap w:val="0"/>
            <w:vAlign w:val="center"/>
          </w:tcPr>
          <w:p w14:paraId="2E43655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分值</w:t>
            </w:r>
          </w:p>
        </w:tc>
        <w:tc>
          <w:tcPr>
            <w:tcW w:w="709" w:type="dxa"/>
            <w:noWrap w:val="0"/>
            <w:vAlign w:val="center"/>
          </w:tcPr>
          <w:p w14:paraId="406D9EF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执行率</w:t>
            </w:r>
          </w:p>
        </w:tc>
        <w:tc>
          <w:tcPr>
            <w:tcW w:w="888" w:type="dxa"/>
            <w:noWrap w:val="0"/>
            <w:vAlign w:val="center"/>
          </w:tcPr>
          <w:p w14:paraId="4397924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得分</w:t>
            </w:r>
          </w:p>
        </w:tc>
      </w:tr>
      <w:tr w14:paraId="3040AB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45" w:type="dxa"/>
            <w:vMerge w:val="continue"/>
            <w:noWrap w:val="0"/>
            <w:vAlign w:val="center"/>
          </w:tcPr>
          <w:p w14:paraId="1CD7A1A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01" w:type="dxa"/>
            <w:gridSpan w:val="2"/>
            <w:noWrap w:val="0"/>
            <w:vAlign w:val="center"/>
          </w:tcPr>
          <w:p w14:paraId="3E6DB12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年度资金总额</w:t>
            </w:r>
          </w:p>
        </w:tc>
        <w:tc>
          <w:tcPr>
            <w:tcW w:w="1141" w:type="dxa"/>
            <w:noWrap w:val="0"/>
            <w:vAlign w:val="center"/>
          </w:tcPr>
          <w:p w14:paraId="39B8EFD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227.88</w:t>
            </w:r>
          </w:p>
        </w:tc>
        <w:tc>
          <w:tcPr>
            <w:tcW w:w="1478" w:type="dxa"/>
            <w:gridSpan w:val="2"/>
            <w:noWrap w:val="0"/>
            <w:vAlign w:val="center"/>
          </w:tcPr>
          <w:p w14:paraId="051307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371.49</w:t>
            </w:r>
          </w:p>
        </w:tc>
        <w:tc>
          <w:tcPr>
            <w:tcW w:w="1227" w:type="dxa"/>
            <w:noWrap w:val="0"/>
            <w:vAlign w:val="center"/>
          </w:tcPr>
          <w:p w14:paraId="03FBAAE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371.49</w:t>
            </w:r>
          </w:p>
        </w:tc>
        <w:tc>
          <w:tcPr>
            <w:tcW w:w="573" w:type="dxa"/>
            <w:noWrap w:val="0"/>
            <w:vAlign w:val="center"/>
          </w:tcPr>
          <w:p w14:paraId="0BAFDB1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10</w:t>
            </w:r>
          </w:p>
        </w:tc>
        <w:tc>
          <w:tcPr>
            <w:tcW w:w="709" w:type="dxa"/>
            <w:noWrap w:val="0"/>
            <w:vAlign w:val="center"/>
          </w:tcPr>
          <w:p w14:paraId="61690BB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888" w:type="dxa"/>
            <w:noWrap w:val="0"/>
            <w:vAlign w:val="center"/>
          </w:tcPr>
          <w:p w14:paraId="7F47477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10</w:t>
            </w:r>
          </w:p>
        </w:tc>
      </w:tr>
      <w:tr w14:paraId="18B44F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45" w:type="dxa"/>
            <w:vMerge w:val="continue"/>
            <w:noWrap w:val="0"/>
            <w:vAlign w:val="center"/>
          </w:tcPr>
          <w:p w14:paraId="692B974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720" w:type="dxa"/>
            <w:gridSpan w:val="5"/>
            <w:noWrap w:val="0"/>
            <w:vAlign w:val="center"/>
          </w:tcPr>
          <w:p w14:paraId="6C8F37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按收入性质分：</w:t>
            </w:r>
          </w:p>
        </w:tc>
        <w:tc>
          <w:tcPr>
            <w:tcW w:w="3397" w:type="dxa"/>
            <w:gridSpan w:val="4"/>
            <w:noWrap w:val="0"/>
            <w:vAlign w:val="center"/>
          </w:tcPr>
          <w:p w14:paraId="279778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按支出性质分：</w:t>
            </w:r>
          </w:p>
        </w:tc>
      </w:tr>
      <w:tr w14:paraId="031E65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45" w:type="dxa"/>
            <w:vMerge w:val="continue"/>
            <w:noWrap w:val="0"/>
            <w:vAlign w:val="center"/>
          </w:tcPr>
          <w:p w14:paraId="4EA386F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720" w:type="dxa"/>
            <w:gridSpan w:val="5"/>
            <w:noWrap w:val="0"/>
            <w:vAlign w:val="center"/>
          </w:tcPr>
          <w:p w14:paraId="029CAF0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 xml:space="preserve">  其中：  一般公共预算：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227.88</w:t>
            </w:r>
          </w:p>
        </w:tc>
        <w:tc>
          <w:tcPr>
            <w:tcW w:w="3397" w:type="dxa"/>
            <w:gridSpan w:val="4"/>
            <w:noWrap w:val="0"/>
            <w:vAlign w:val="center"/>
          </w:tcPr>
          <w:p w14:paraId="67A5C1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其中：基本支出：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196.18</w:t>
            </w:r>
          </w:p>
        </w:tc>
      </w:tr>
      <w:tr w14:paraId="27D2D9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45" w:type="dxa"/>
            <w:vMerge w:val="continue"/>
            <w:noWrap w:val="0"/>
            <w:vAlign w:val="center"/>
          </w:tcPr>
          <w:p w14:paraId="0DDD95E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720" w:type="dxa"/>
            <w:gridSpan w:val="5"/>
            <w:noWrap w:val="0"/>
            <w:vAlign w:val="center"/>
          </w:tcPr>
          <w:p w14:paraId="49CFD99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800" w:firstLineChars="400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政府性基金拨款：</w:t>
            </w:r>
          </w:p>
        </w:tc>
        <w:tc>
          <w:tcPr>
            <w:tcW w:w="3397" w:type="dxa"/>
            <w:gridSpan w:val="4"/>
            <w:noWrap w:val="0"/>
            <w:vAlign w:val="center"/>
          </w:tcPr>
          <w:p w14:paraId="555975F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600" w:firstLineChars="300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项目支出：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31.7</w:t>
            </w:r>
          </w:p>
        </w:tc>
      </w:tr>
      <w:tr w14:paraId="6153F7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45" w:type="dxa"/>
            <w:vMerge w:val="continue"/>
            <w:noWrap w:val="0"/>
            <w:vAlign w:val="center"/>
          </w:tcPr>
          <w:p w14:paraId="5166856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720" w:type="dxa"/>
            <w:gridSpan w:val="5"/>
            <w:noWrap w:val="0"/>
            <w:vAlign w:val="center"/>
          </w:tcPr>
          <w:p w14:paraId="4D86174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纳入专户管理的非税收入拨款：</w:t>
            </w:r>
          </w:p>
        </w:tc>
        <w:tc>
          <w:tcPr>
            <w:tcW w:w="3397" w:type="dxa"/>
            <w:gridSpan w:val="4"/>
            <w:noWrap w:val="0"/>
            <w:vAlign w:val="center"/>
          </w:tcPr>
          <w:p w14:paraId="01ACA70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</w:tr>
      <w:tr w14:paraId="2BC2B2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145" w:type="dxa"/>
            <w:vMerge w:val="continue"/>
            <w:noWrap w:val="0"/>
            <w:vAlign w:val="center"/>
          </w:tcPr>
          <w:p w14:paraId="0C65C16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720" w:type="dxa"/>
            <w:gridSpan w:val="5"/>
            <w:noWrap w:val="0"/>
            <w:vAlign w:val="center"/>
          </w:tcPr>
          <w:p w14:paraId="095A83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1400" w:firstLineChars="700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其他资金：</w:t>
            </w:r>
          </w:p>
        </w:tc>
        <w:tc>
          <w:tcPr>
            <w:tcW w:w="3397" w:type="dxa"/>
            <w:gridSpan w:val="4"/>
            <w:noWrap w:val="0"/>
            <w:vAlign w:val="center"/>
          </w:tcPr>
          <w:p w14:paraId="5678C11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</w:tr>
      <w:tr w14:paraId="391BB1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" w:hRule="atLeast"/>
          <w:jc w:val="center"/>
        </w:trPr>
        <w:tc>
          <w:tcPr>
            <w:tcW w:w="1145" w:type="dxa"/>
            <w:vMerge w:val="restart"/>
            <w:noWrap w:val="0"/>
            <w:vAlign w:val="center"/>
          </w:tcPr>
          <w:p w14:paraId="7D6C9AB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1、</w:t>
            </w:r>
          </w:p>
        </w:tc>
        <w:tc>
          <w:tcPr>
            <w:tcW w:w="4720" w:type="dxa"/>
            <w:gridSpan w:val="5"/>
            <w:noWrap w:val="0"/>
            <w:vAlign w:val="center"/>
          </w:tcPr>
          <w:p w14:paraId="3CF70F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/>
              </w:rPr>
            </w:pPr>
          </w:p>
        </w:tc>
        <w:tc>
          <w:tcPr>
            <w:tcW w:w="3397" w:type="dxa"/>
            <w:gridSpan w:val="4"/>
            <w:noWrap w:val="0"/>
            <w:vAlign w:val="center"/>
          </w:tcPr>
          <w:p w14:paraId="5507880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实际完成情况　</w:t>
            </w:r>
          </w:p>
        </w:tc>
      </w:tr>
      <w:tr w14:paraId="3392DE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" w:hRule="atLeast"/>
          <w:jc w:val="center"/>
        </w:trPr>
        <w:tc>
          <w:tcPr>
            <w:tcW w:w="1145" w:type="dxa"/>
            <w:vMerge w:val="continue"/>
            <w:noWrap w:val="0"/>
            <w:vAlign w:val="center"/>
          </w:tcPr>
          <w:p w14:paraId="13325A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720" w:type="dxa"/>
            <w:gridSpan w:val="5"/>
            <w:noWrap w:val="0"/>
            <w:vAlign w:val="center"/>
          </w:tcPr>
          <w:p w14:paraId="2176B36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  <w:lang w:val="en-US" w:eastAsia="zh-CN"/>
              </w:rPr>
              <w:t>1、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强化政治领引，推动统一战线各项重大决策部署全面落实。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  <w:lang w:val="en-US" w:eastAsia="zh-CN"/>
              </w:rPr>
              <w:t>2、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推动和谐发展，民族宗教、对台侨联，非公党建工作有序开展。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  <w:lang w:val="en-US" w:eastAsia="zh-CN"/>
              </w:rPr>
              <w:t>3、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加强多党合作，推动党外非干部事业繁荣发展。　　</w:t>
            </w:r>
          </w:p>
        </w:tc>
        <w:tc>
          <w:tcPr>
            <w:tcW w:w="3397" w:type="dxa"/>
            <w:gridSpan w:val="4"/>
            <w:noWrap w:val="0"/>
            <w:vAlign w:val="center"/>
          </w:tcPr>
          <w:p w14:paraId="49493E6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　1.持续深化思想政治引领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  <w:lang w:eastAsia="zh-CN"/>
              </w:rPr>
              <w:t>，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做实民营经济统战工作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  <w:lang w:eastAsia="zh-CN"/>
              </w:rPr>
              <w:t>；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.发挥统战人才荟萃优势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  <w:lang w:eastAsia="zh-CN"/>
              </w:rPr>
              <w:t>，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推动民族工作提质增效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  <w:lang w:eastAsia="zh-CN"/>
              </w:rPr>
              <w:t>；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  <w:lang w:val="en-US" w:eastAsia="zh-CN"/>
              </w:rPr>
              <w:t>3、依法加强管理宗教事务、加强港澳和海外统战工作。</w:t>
            </w:r>
          </w:p>
        </w:tc>
      </w:tr>
      <w:tr w14:paraId="5B5CEB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  <w:jc w:val="center"/>
        </w:trPr>
        <w:tc>
          <w:tcPr>
            <w:tcW w:w="1145" w:type="dxa"/>
            <w:vMerge w:val="restart"/>
            <w:noWrap w:val="0"/>
            <w:vAlign w:val="center"/>
          </w:tcPr>
          <w:p w14:paraId="5A6F465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绩</w:t>
            </w:r>
          </w:p>
          <w:p w14:paraId="0E86656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效</w:t>
            </w:r>
          </w:p>
          <w:p w14:paraId="00DD1A6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指</w:t>
            </w:r>
          </w:p>
          <w:p w14:paraId="6C6CC04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标</w:t>
            </w:r>
          </w:p>
        </w:tc>
        <w:tc>
          <w:tcPr>
            <w:tcW w:w="1092" w:type="dxa"/>
            <w:noWrap w:val="0"/>
            <w:vAlign w:val="center"/>
          </w:tcPr>
          <w:p w14:paraId="0CC546E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1009" w:type="dxa"/>
            <w:noWrap w:val="0"/>
            <w:vAlign w:val="center"/>
          </w:tcPr>
          <w:p w14:paraId="75A23D6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1528" w:type="dxa"/>
            <w:gridSpan w:val="2"/>
            <w:noWrap w:val="0"/>
            <w:vAlign w:val="center"/>
          </w:tcPr>
          <w:p w14:paraId="6674A11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1091" w:type="dxa"/>
            <w:noWrap w:val="0"/>
            <w:vAlign w:val="center"/>
          </w:tcPr>
          <w:p w14:paraId="159AE1E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年度</w:t>
            </w:r>
          </w:p>
          <w:p w14:paraId="63EDF19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指标值</w:t>
            </w:r>
          </w:p>
        </w:tc>
        <w:tc>
          <w:tcPr>
            <w:tcW w:w="1227" w:type="dxa"/>
            <w:noWrap w:val="0"/>
            <w:vAlign w:val="center"/>
          </w:tcPr>
          <w:p w14:paraId="3B6D246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实际</w:t>
            </w:r>
          </w:p>
          <w:p w14:paraId="7DB630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完成值</w:t>
            </w:r>
          </w:p>
        </w:tc>
        <w:tc>
          <w:tcPr>
            <w:tcW w:w="573" w:type="dxa"/>
            <w:noWrap w:val="0"/>
            <w:vAlign w:val="center"/>
          </w:tcPr>
          <w:p w14:paraId="24A0A12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709" w:type="dxa"/>
            <w:noWrap w:val="0"/>
            <w:vAlign w:val="center"/>
          </w:tcPr>
          <w:p w14:paraId="0DE69CB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得分</w:t>
            </w:r>
          </w:p>
        </w:tc>
        <w:tc>
          <w:tcPr>
            <w:tcW w:w="888" w:type="dxa"/>
            <w:noWrap w:val="0"/>
            <w:vAlign w:val="top"/>
          </w:tcPr>
          <w:p w14:paraId="7CC3833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偏差原因</w:t>
            </w:r>
          </w:p>
          <w:p w14:paraId="632FDAD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分析及</w:t>
            </w:r>
          </w:p>
          <w:p w14:paraId="313B511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改进措施</w:t>
            </w:r>
          </w:p>
        </w:tc>
      </w:tr>
      <w:tr w14:paraId="24258A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45" w:type="dxa"/>
            <w:vMerge w:val="continue"/>
            <w:noWrap w:val="0"/>
            <w:vAlign w:val="center"/>
          </w:tcPr>
          <w:p w14:paraId="24518DF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92" w:type="dxa"/>
            <w:vMerge w:val="restart"/>
            <w:noWrap w:val="0"/>
            <w:vAlign w:val="center"/>
          </w:tcPr>
          <w:p w14:paraId="122D942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产出指标</w:t>
            </w:r>
          </w:p>
          <w:p w14:paraId="15CFAE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50分)</w:t>
            </w:r>
          </w:p>
        </w:tc>
        <w:tc>
          <w:tcPr>
            <w:tcW w:w="1009" w:type="dxa"/>
            <w:noWrap w:val="0"/>
            <w:vAlign w:val="center"/>
          </w:tcPr>
          <w:p w14:paraId="66C146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数量</w:t>
            </w:r>
          </w:p>
          <w:p w14:paraId="7761C68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指标</w:t>
            </w:r>
          </w:p>
        </w:tc>
        <w:tc>
          <w:tcPr>
            <w:tcW w:w="1528" w:type="dxa"/>
            <w:gridSpan w:val="2"/>
            <w:noWrap w:val="0"/>
            <w:vAlign w:val="center"/>
          </w:tcPr>
          <w:p w14:paraId="7FCBCF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  <w:t>各资金保障</w:t>
            </w:r>
          </w:p>
        </w:tc>
        <w:tc>
          <w:tcPr>
            <w:tcW w:w="1091" w:type="dxa"/>
            <w:noWrap w:val="0"/>
            <w:vAlign w:val="center"/>
          </w:tcPr>
          <w:p w14:paraId="10AB15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　100%</w:t>
            </w:r>
          </w:p>
        </w:tc>
        <w:tc>
          <w:tcPr>
            <w:tcW w:w="1227" w:type="dxa"/>
            <w:noWrap w:val="0"/>
            <w:vAlign w:val="center"/>
          </w:tcPr>
          <w:p w14:paraId="298E0E5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　100%</w:t>
            </w:r>
          </w:p>
        </w:tc>
        <w:tc>
          <w:tcPr>
            <w:tcW w:w="573" w:type="dxa"/>
            <w:noWrap w:val="0"/>
            <w:vAlign w:val="center"/>
          </w:tcPr>
          <w:p w14:paraId="42ED01E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709" w:type="dxa"/>
            <w:noWrap w:val="0"/>
            <w:vAlign w:val="center"/>
          </w:tcPr>
          <w:p w14:paraId="29779EE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88" w:type="dxa"/>
            <w:noWrap w:val="0"/>
            <w:vAlign w:val="center"/>
          </w:tcPr>
          <w:p w14:paraId="396CD9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336ED1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45" w:type="dxa"/>
            <w:vMerge w:val="continue"/>
            <w:noWrap w:val="0"/>
            <w:vAlign w:val="center"/>
          </w:tcPr>
          <w:p w14:paraId="7EB828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92" w:type="dxa"/>
            <w:vMerge w:val="continue"/>
            <w:noWrap w:val="0"/>
            <w:vAlign w:val="center"/>
          </w:tcPr>
          <w:p w14:paraId="0D4B7A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09" w:type="dxa"/>
            <w:noWrap w:val="0"/>
            <w:vAlign w:val="center"/>
          </w:tcPr>
          <w:p w14:paraId="6C6B4D8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质量</w:t>
            </w:r>
          </w:p>
          <w:p w14:paraId="6E14BD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指标</w:t>
            </w:r>
          </w:p>
        </w:tc>
        <w:tc>
          <w:tcPr>
            <w:tcW w:w="1528" w:type="dxa"/>
            <w:gridSpan w:val="2"/>
            <w:noWrap w:val="0"/>
            <w:vAlign w:val="center"/>
          </w:tcPr>
          <w:p w14:paraId="4D10325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财政资金支付合规率，经费使用准确性</w:t>
            </w:r>
          </w:p>
        </w:tc>
        <w:tc>
          <w:tcPr>
            <w:tcW w:w="1091" w:type="dxa"/>
            <w:noWrap w:val="0"/>
            <w:vAlign w:val="center"/>
          </w:tcPr>
          <w:p w14:paraId="14B6B25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100%</w:t>
            </w:r>
          </w:p>
        </w:tc>
        <w:tc>
          <w:tcPr>
            <w:tcW w:w="1227" w:type="dxa"/>
            <w:noWrap w:val="0"/>
            <w:vAlign w:val="center"/>
          </w:tcPr>
          <w:p w14:paraId="709998B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100%</w:t>
            </w:r>
          </w:p>
        </w:tc>
        <w:tc>
          <w:tcPr>
            <w:tcW w:w="573" w:type="dxa"/>
            <w:noWrap w:val="0"/>
            <w:vAlign w:val="center"/>
          </w:tcPr>
          <w:p w14:paraId="2E68C25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15</w:t>
            </w:r>
          </w:p>
        </w:tc>
        <w:tc>
          <w:tcPr>
            <w:tcW w:w="709" w:type="dxa"/>
            <w:noWrap w:val="0"/>
            <w:vAlign w:val="center"/>
          </w:tcPr>
          <w:p w14:paraId="6C93AC5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14</w:t>
            </w:r>
          </w:p>
        </w:tc>
        <w:tc>
          <w:tcPr>
            <w:tcW w:w="888" w:type="dxa"/>
            <w:noWrap w:val="0"/>
            <w:vAlign w:val="center"/>
          </w:tcPr>
          <w:p w14:paraId="6A26688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0E6C22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45" w:type="dxa"/>
            <w:vMerge w:val="continue"/>
            <w:noWrap w:val="0"/>
            <w:vAlign w:val="center"/>
          </w:tcPr>
          <w:p w14:paraId="23CFF5A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92" w:type="dxa"/>
            <w:vMerge w:val="continue"/>
            <w:noWrap w:val="0"/>
            <w:vAlign w:val="center"/>
          </w:tcPr>
          <w:p w14:paraId="0F6C15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09" w:type="dxa"/>
            <w:noWrap w:val="0"/>
            <w:vAlign w:val="center"/>
          </w:tcPr>
          <w:p w14:paraId="435C19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时效</w:t>
            </w:r>
          </w:p>
          <w:p w14:paraId="2750508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指标</w:t>
            </w:r>
          </w:p>
        </w:tc>
        <w:tc>
          <w:tcPr>
            <w:tcW w:w="1528" w:type="dxa"/>
            <w:gridSpan w:val="2"/>
            <w:noWrap w:val="0"/>
            <w:vAlign w:val="center"/>
          </w:tcPr>
          <w:p w14:paraId="7BC51B6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完成及时率</w:t>
            </w:r>
          </w:p>
        </w:tc>
        <w:tc>
          <w:tcPr>
            <w:tcW w:w="1091" w:type="dxa"/>
            <w:noWrap w:val="0"/>
            <w:vAlign w:val="center"/>
          </w:tcPr>
          <w:p w14:paraId="6431639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及时足额到位</w:t>
            </w:r>
          </w:p>
        </w:tc>
        <w:tc>
          <w:tcPr>
            <w:tcW w:w="1227" w:type="dxa"/>
            <w:noWrap w:val="0"/>
            <w:vAlign w:val="center"/>
          </w:tcPr>
          <w:p w14:paraId="2F19757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及时足额到位</w:t>
            </w:r>
          </w:p>
        </w:tc>
        <w:tc>
          <w:tcPr>
            <w:tcW w:w="573" w:type="dxa"/>
            <w:noWrap w:val="0"/>
            <w:vAlign w:val="center"/>
          </w:tcPr>
          <w:p w14:paraId="6279106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15</w:t>
            </w:r>
          </w:p>
        </w:tc>
        <w:tc>
          <w:tcPr>
            <w:tcW w:w="709" w:type="dxa"/>
            <w:noWrap w:val="0"/>
            <w:vAlign w:val="center"/>
          </w:tcPr>
          <w:p w14:paraId="6313AFC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13</w:t>
            </w:r>
          </w:p>
        </w:tc>
        <w:tc>
          <w:tcPr>
            <w:tcW w:w="888" w:type="dxa"/>
            <w:noWrap w:val="0"/>
            <w:vAlign w:val="center"/>
          </w:tcPr>
          <w:p w14:paraId="74986B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0A95F2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45" w:type="dxa"/>
            <w:vMerge w:val="continue"/>
            <w:noWrap w:val="0"/>
            <w:vAlign w:val="center"/>
          </w:tcPr>
          <w:p w14:paraId="30FF5C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92" w:type="dxa"/>
            <w:vMerge w:val="continue"/>
            <w:noWrap w:val="0"/>
            <w:vAlign w:val="center"/>
          </w:tcPr>
          <w:p w14:paraId="67052CE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09" w:type="dxa"/>
            <w:noWrap w:val="0"/>
            <w:vAlign w:val="center"/>
          </w:tcPr>
          <w:p w14:paraId="5D2F3DF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成本</w:t>
            </w:r>
          </w:p>
          <w:p w14:paraId="6DF5A3A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指标</w:t>
            </w:r>
          </w:p>
        </w:tc>
        <w:tc>
          <w:tcPr>
            <w:tcW w:w="1528" w:type="dxa"/>
            <w:gridSpan w:val="2"/>
            <w:shd w:val="clear"/>
            <w:noWrap w:val="0"/>
            <w:vAlign w:val="center"/>
          </w:tcPr>
          <w:p w14:paraId="430DF986">
            <w:pPr>
              <w:widowControl/>
              <w:spacing w:line="240" w:lineRule="exact"/>
              <w:jc w:val="both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控制在财政核准预算数</w:t>
            </w:r>
          </w:p>
        </w:tc>
        <w:tc>
          <w:tcPr>
            <w:tcW w:w="1091" w:type="dxa"/>
            <w:noWrap w:val="0"/>
            <w:vAlign w:val="center"/>
          </w:tcPr>
          <w:p w14:paraId="3AC602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无超支问题</w:t>
            </w:r>
          </w:p>
        </w:tc>
        <w:tc>
          <w:tcPr>
            <w:tcW w:w="1227" w:type="dxa"/>
            <w:noWrap w:val="0"/>
            <w:vAlign w:val="center"/>
          </w:tcPr>
          <w:p w14:paraId="1A35E2D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无超支问题</w:t>
            </w:r>
          </w:p>
        </w:tc>
        <w:tc>
          <w:tcPr>
            <w:tcW w:w="573" w:type="dxa"/>
            <w:noWrap w:val="0"/>
            <w:vAlign w:val="center"/>
          </w:tcPr>
          <w:p w14:paraId="0324A2F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709" w:type="dxa"/>
            <w:noWrap w:val="0"/>
            <w:vAlign w:val="center"/>
          </w:tcPr>
          <w:p w14:paraId="69C031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88" w:type="dxa"/>
            <w:noWrap w:val="0"/>
            <w:vAlign w:val="center"/>
          </w:tcPr>
          <w:p w14:paraId="37A0CB1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7A0B74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45" w:type="dxa"/>
            <w:vMerge w:val="continue"/>
            <w:noWrap w:val="0"/>
            <w:vAlign w:val="center"/>
          </w:tcPr>
          <w:p w14:paraId="5CA2117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92" w:type="dxa"/>
            <w:vMerge w:val="restart"/>
            <w:noWrap w:val="0"/>
            <w:vAlign w:val="center"/>
          </w:tcPr>
          <w:p w14:paraId="7370AB0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效益指标</w:t>
            </w:r>
          </w:p>
          <w:p w14:paraId="10AE624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（3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分）</w:t>
            </w:r>
          </w:p>
        </w:tc>
        <w:tc>
          <w:tcPr>
            <w:tcW w:w="1009" w:type="dxa"/>
            <w:noWrap w:val="0"/>
            <w:vAlign w:val="center"/>
          </w:tcPr>
          <w:p w14:paraId="746DDBF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经济效</w:t>
            </w:r>
          </w:p>
          <w:p w14:paraId="62EE523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益指标</w:t>
            </w:r>
          </w:p>
        </w:tc>
        <w:tc>
          <w:tcPr>
            <w:tcW w:w="1528" w:type="dxa"/>
            <w:gridSpan w:val="2"/>
            <w:noWrap w:val="0"/>
            <w:vAlign w:val="center"/>
          </w:tcPr>
          <w:p w14:paraId="71D225E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 xml:space="preserve">保障资金使用效率 </w:t>
            </w:r>
          </w:p>
        </w:tc>
        <w:tc>
          <w:tcPr>
            <w:tcW w:w="1091" w:type="dxa"/>
            <w:noWrap w:val="0"/>
            <w:vAlign w:val="center"/>
          </w:tcPr>
          <w:p w14:paraId="4B1A6B9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有效保障</w:t>
            </w:r>
          </w:p>
        </w:tc>
        <w:tc>
          <w:tcPr>
            <w:tcW w:w="1227" w:type="dxa"/>
            <w:noWrap w:val="0"/>
            <w:vAlign w:val="center"/>
          </w:tcPr>
          <w:p w14:paraId="7474431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有效保障</w:t>
            </w:r>
          </w:p>
        </w:tc>
        <w:tc>
          <w:tcPr>
            <w:tcW w:w="573" w:type="dxa"/>
            <w:noWrap w:val="0"/>
            <w:vAlign w:val="center"/>
          </w:tcPr>
          <w:p w14:paraId="714843D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709" w:type="dxa"/>
            <w:noWrap w:val="0"/>
            <w:vAlign w:val="center"/>
          </w:tcPr>
          <w:p w14:paraId="12CEDE2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9</w:t>
            </w:r>
          </w:p>
        </w:tc>
        <w:tc>
          <w:tcPr>
            <w:tcW w:w="888" w:type="dxa"/>
            <w:noWrap w:val="0"/>
            <w:vAlign w:val="center"/>
          </w:tcPr>
          <w:p w14:paraId="0E64F74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78A210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45" w:type="dxa"/>
            <w:vMerge w:val="continue"/>
            <w:noWrap w:val="0"/>
            <w:vAlign w:val="center"/>
          </w:tcPr>
          <w:p w14:paraId="1C9796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92" w:type="dxa"/>
            <w:vMerge w:val="continue"/>
            <w:noWrap w:val="0"/>
            <w:vAlign w:val="center"/>
          </w:tcPr>
          <w:p w14:paraId="03D7E1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09" w:type="dxa"/>
            <w:noWrap w:val="0"/>
            <w:vAlign w:val="center"/>
          </w:tcPr>
          <w:p w14:paraId="7AEBD07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社会效</w:t>
            </w:r>
          </w:p>
          <w:p w14:paraId="262BD3B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益指标</w:t>
            </w:r>
          </w:p>
        </w:tc>
        <w:tc>
          <w:tcPr>
            <w:tcW w:w="1528" w:type="dxa"/>
            <w:gridSpan w:val="2"/>
            <w:noWrap w:val="0"/>
            <w:vAlign w:val="center"/>
          </w:tcPr>
          <w:p w14:paraId="50565DE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保障所有宗教场所、促进民族乡镇稳步发展宗教活动正常</w:t>
            </w:r>
          </w:p>
        </w:tc>
        <w:tc>
          <w:tcPr>
            <w:tcW w:w="1091" w:type="dxa"/>
            <w:noWrap w:val="0"/>
            <w:vAlign w:val="center"/>
          </w:tcPr>
          <w:p w14:paraId="549F7FE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效果明显</w:t>
            </w:r>
          </w:p>
        </w:tc>
        <w:tc>
          <w:tcPr>
            <w:tcW w:w="1227" w:type="dxa"/>
            <w:noWrap w:val="0"/>
            <w:vAlign w:val="center"/>
          </w:tcPr>
          <w:p w14:paraId="137FF1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效果明显</w:t>
            </w:r>
          </w:p>
        </w:tc>
        <w:tc>
          <w:tcPr>
            <w:tcW w:w="573" w:type="dxa"/>
            <w:noWrap w:val="0"/>
            <w:vAlign w:val="center"/>
          </w:tcPr>
          <w:p w14:paraId="2BCE81B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709" w:type="dxa"/>
            <w:noWrap w:val="0"/>
            <w:vAlign w:val="center"/>
          </w:tcPr>
          <w:p w14:paraId="47BF25E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9</w:t>
            </w:r>
          </w:p>
        </w:tc>
        <w:tc>
          <w:tcPr>
            <w:tcW w:w="888" w:type="dxa"/>
            <w:noWrap w:val="0"/>
            <w:vAlign w:val="center"/>
          </w:tcPr>
          <w:p w14:paraId="6015C7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1E8AFC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45" w:type="dxa"/>
            <w:vMerge w:val="continue"/>
            <w:noWrap w:val="0"/>
            <w:vAlign w:val="center"/>
          </w:tcPr>
          <w:p w14:paraId="7312BB4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92" w:type="dxa"/>
            <w:vMerge w:val="continue"/>
            <w:noWrap w:val="0"/>
            <w:vAlign w:val="center"/>
          </w:tcPr>
          <w:p w14:paraId="190777C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09" w:type="dxa"/>
            <w:noWrap w:val="0"/>
            <w:vAlign w:val="center"/>
          </w:tcPr>
          <w:p w14:paraId="6DED5BD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生态效</w:t>
            </w:r>
          </w:p>
          <w:p w14:paraId="1A30A22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益指标</w:t>
            </w:r>
          </w:p>
        </w:tc>
        <w:tc>
          <w:tcPr>
            <w:tcW w:w="1528" w:type="dxa"/>
            <w:gridSpan w:val="2"/>
            <w:noWrap w:val="0"/>
            <w:vAlign w:val="center"/>
          </w:tcPr>
          <w:p w14:paraId="28A166D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bookmarkStart w:id="4" w:name="OLE_LINK8"/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  <w:t>不适用</w:t>
            </w:r>
            <w:bookmarkEnd w:id="4"/>
          </w:p>
        </w:tc>
        <w:tc>
          <w:tcPr>
            <w:tcW w:w="1091" w:type="dxa"/>
            <w:noWrap w:val="0"/>
            <w:vAlign w:val="center"/>
          </w:tcPr>
          <w:p w14:paraId="62BB544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227" w:type="dxa"/>
            <w:noWrap w:val="0"/>
            <w:vAlign w:val="center"/>
          </w:tcPr>
          <w:p w14:paraId="3A4A124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573" w:type="dxa"/>
            <w:noWrap w:val="0"/>
            <w:vAlign w:val="center"/>
          </w:tcPr>
          <w:p w14:paraId="5CA1E0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noWrap w:val="0"/>
            <w:vAlign w:val="center"/>
          </w:tcPr>
          <w:p w14:paraId="7D00D7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88" w:type="dxa"/>
            <w:noWrap w:val="0"/>
            <w:vAlign w:val="center"/>
          </w:tcPr>
          <w:p w14:paraId="415E470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53308D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45" w:type="dxa"/>
            <w:vMerge w:val="continue"/>
            <w:noWrap w:val="0"/>
            <w:vAlign w:val="center"/>
          </w:tcPr>
          <w:p w14:paraId="366E613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92" w:type="dxa"/>
            <w:vMerge w:val="continue"/>
            <w:noWrap w:val="0"/>
            <w:vAlign w:val="center"/>
          </w:tcPr>
          <w:p w14:paraId="5CC751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09" w:type="dxa"/>
            <w:noWrap w:val="0"/>
            <w:vAlign w:val="center"/>
          </w:tcPr>
          <w:p w14:paraId="48651B7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可持续影响指标</w:t>
            </w:r>
          </w:p>
        </w:tc>
        <w:tc>
          <w:tcPr>
            <w:tcW w:w="1528" w:type="dxa"/>
            <w:gridSpan w:val="2"/>
            <w:noWrap w:val="0"/>
            <w:vAlign w:val="center"/>
          </w:tcPr>
          <w:p w14:paraId="75E20BA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创特色、树品牌，不断扩大统战工作的知名度和影响力。</w:t>
            </w:r>
          </w:p>
        </w:tc>
        <w:tc>
          <w:tcPr>
            <w:tcW w:w="1091" w:type="dxa"/>
            <w:noWrap w:val="0"/>
            <w:vAlign w:val="center"/>
          </w:tcPr>
          <w:p w14:paraId="6FA0DB6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效果明显</w:t>
            </w:r>
          </w:p>
        </w:tc>
        <w:tc>
          <w:tcPr>
            <w:tcW w:w="1227" w:type="dxa"/>
            <w:noWrap w:val="0"/>
            <w:vAlign w:val="center"/>
          </w:tcPr>
          <w:p w14:paraId="4A293EE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效果明显</w:t>
            </w:r>
          </w:p>
        </w:tc>
        <w:tc>
          <w:tcPr>
            <w:tcW w:w="573" w:type="dxa"/>
            <w:noWrap w:val="0"/>
            <w:vAlign w:val="center"/>
          </w:tcPr>
          <w:p w14:paraId="10B17F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709" w:type="dxa"/>
            <w:noWrap w:val="0"/>
            <w:vAlign w:val="center"/>
          </w:tcPr>
          <w:p w14:paraId="0B0965E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9</w:t>
            </w:r>
          </w:p>
        </w:tc>
        <w:tc>
          <w:tcPr>
            <w:tcW w:w="888" w:type="dxa"/>
            <w:noWrap w:val="0"/>
            <w:vAlign w:val="center"/>
          </w:tcPr>
          <w:p w14:paraId="5D7A767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704BF2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45" w:type="dxa"/>
            <w:vMerge w:val="continue"/>
            <w:noWrap w:val="0"/>
            <w:vAlign w:val="center"/>
          </w:tcPr>
          <w:p w14:paraId="3833F8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92" w:type="dxa"/>
            <w:noWrap w:val="0"/>
            <w:vAlign w:val="center"/>
          </w:tcPr>
          <w:p w14:paraId="73776AE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满意度</w:t>
            </w:r>
          </w:p>
          <w:p w14:paraId="59C54F0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指标</w:t>
            </w:r>
          </w:p>
          <w:p w14:paraId="7D87D2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（10分）</w:t>
            </w:r>
          </w:p>
        </w:tc>
        <w:tc>
          <w:tcPr>
            <w:tcW w:w="1009" w:type="dxa"/>
            <w:noWrap w:val="0"/>
            <w:vAlign w:val="center"/>
          </w:tcPr>
          <w:p w14:paraId="16402FC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服务对象满意度指标</w:t>
            </w:r>
          </w:p>
        </w:tc>
        <w:tc>
          <w:tcPr>
            <w:tcW w:w="1528" w:type="dxa"/>
            <w:gridSpan w:val="2"/>
            <w:noWrap w:val="0"/>
            <w:vAlign w:val="center"/>
          </w:tcPr>
          <w:p w14:paraId="7B6CB6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统战对象满意率</w:t>
            </w:r>
          </w:p>
        </w:tc>
        <w:tc>
          <w:tcPr>
            <w:tcW w:w="1091" w:type="dxa"/>
            <w:noWrap w:val="0"/>
            <w:vAlign w:val="center"/>
          </w:tcPr>
          <w:p w14:paraId="09621E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≥95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%</w:t>
            </w:r>
          </w:p>
        </w:tc>
        <w:tc>
          <w:tcPr>
            <w:tcW w:w="1227" w:type="dxa"/>
            <w:noWrap w:val="0"/>
            <w:vAlign w:val="center"/>
          </w:tcPr>
          <w:p w14:paraId="3A2879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96%</w:t>
            </w:r>
          </w:p>
        </w:tc>
        <w:tc>
          <w:tcPr>
            <w:tcW w:w="573" w:type="dxa"/>
            <w:noWrap w:val="0"/>
            <w:vAlign w:val="center"/>
          </w:tcPr>
          <w:p w14:paraId="1DAB9D8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709" w:type="dxa"/>
            <w:noWrap w:val="0"/>
            <w:vAlign w:val="center"/>
          </w:tcPr>
          <w:p w14:paraId="5415BD9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88" w:type="dxa"/>
            <w:noWrap w:val="0"/>
            <w:vAlign w:val="center"/>
          </w:tcPr>
          <w:p w14:paraId="05A0DFD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35E247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092" w:type="dxa"/>
            <w:gridSpan w:val="7"/>
            <w:noWrap w:val="0"/>
            <w:vAlign w:val="center"/>
          </w:tcPr>
          <w:p w14:paraId="6B9884A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总分</w:t>
            </w:r>
          </w:p>
        </w:tc>
        <w:tc>
          <w:tcPr>
            <w:tcW w:w="573" w:type="dxa"/>
            <w:noWrap w:val="0"/>
            <w:vAlign w:val="center"/>
          </w:tcPr>
          <w:p w14:paraId="3E78B80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100</w:t>
            </w:r>
          </w:p>
        </w:tc>
        <w:tc>
          <w:tcPr>
            <w:tcW w:w="709" w:type="dxa"/>
            <w:noWrap w:val="0"/>
            <w:vAlign w:val="center"/>
          </w:tcPr>
          <w:p w14:paraId="6C281C3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94</w:t>
            </w:r>
          </w:p>
        </w:tc>
        <w:tc>
          <w:tcPr>
            <w:tcW w:w="888" w:type="dxa"/>
            <w:noWrap w:val="0"/>
            <w:vAlign w:val="center"/>
          </w:tcPr>
          <w:p w14:paraId="3EC9DE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</w:tbl>
    <w:p w14:paraId="5DCFCE5E">
      <w:pPr>
        <w:widowControl w:val="0"/>
        <w:kinsoku/>
        <w:autoSpaceDE/>
        <w:autoSpaceDN/>
        <w:adjustRightInd/>
        <w:snapToGrid/>
        <w:spacing w:line="600" w:lineRule="exact"/>
        <w:jc w:val="both"/>
        <w:textAlignment w:val="auto"/>
        <w:rPr>
          <w:rFonts w:hint="default" w:ascii="Times New Roman" w:hAnsi="Times New Roman" w:eastAsia="仿宋_GB2312" w:cs="Times New Roman"/>
          <w:snapToGrid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>填表人：</w:t>
      </w:r>
      <w:r>
        <w:rPr>
          <w:rFonts w:hint="eastAsia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>张洪睿</w:t>
      </w:r>
      <w:r>
        <w:rPr>
          <w:rFonts w:hint="eastAsia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 xml:space="preserve">     </w:t>
      </w:r>
      <w:r>
        <w:rPr>
          <w:rFonts w:hint="default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 xml:space="preserve"> 填报日期：</w:t>
      </w:r>
      <w:r>
        <w:rPr>
          <w:rFonts w:hint="eastAsia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 xml:space="preserve">  </w:t>
      </w:r>
      <w:r>
        <w:rPr>
          <w:rFonts w:hint="eastAsia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>2024年8月</w:t>
      </w:r>
      <w:r>
        <w:rPr>
          <w:rFonts w:hint="eastAsia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 xml:space="preserve">     </w:t>
      </w:r>
      <w:r>
        <w:rPr>
          <w:rFonts w:hint="default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 xml:space="preserve">  联系电话：18692502998 </w:t>
      </w:r>
      <w:bookmarkStart w:id="5" w:name="_GoBack"/>
      <w:bookmarkEnd w:id="5"/>
      <w:r>
        <w:rPr>
          <w:rFonts w:hint="eastAsia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 xml:space="preserve"> </w:t>
      </w:r>
    </w:p>
    <w:p w14:paraId="6EC4394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488DBF1"/>
    <w:multiLevelType w:val="singleLevel"/>
    <w:tmpl w:val="A488DBF1"/>
    <w:lvl w:ilvl="0" w:tentative="0">
      <w:start w:val="4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FD172EE5"/>
    <w:multiLevelType w:val="singleLevel"/>
    <w:tmpl w:val="FD172EE5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1AFBB5F4"/>
    <w:multiLevelType w:val="singleLevel"/>
    <w:tmpl w:val="1AFBB5F4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3">
    <w:nsid w:val="2A53B0D7"/>
    <w:multiLevelType w:val="singleLevel"/>
    <w:tmpl w:val="2A53B0D7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4">
    <w:nsid w:val="4963A64A"/>
    <w:multiLevelType w:val="singleLevel"/>
    <w:tmpl w:val="4963A64A"/>
    <w:lvl w:ilvl="0" w:tentative="0">
      <w:start w:val="8"/>
      <w:numFmt w:val="chineseCounting"/>
      <w:suff w:val="nothing"/>
      <w:lvlText w:val="%1、"/>
      <w:lvlJc w:val="left"/>
      <w:rPr>
        <w:rFonts w:hint="eastAsia"/>
      </w:rPr>
    </w:lvl>
  </w:abstractNum>
  <w:abstractNum w:abstractNumId="5">
    <w:nsid w:val="5927506C"/>
    <w:multiLevelType w:val="singleLevel"/>
    <w:tmpl w:val="5927506C"/>
    <w:lvl w:ilvl="0" w:tentative="0">
      <w:start w:val="3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3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Q1N2JhNWMzMzM5ZmEyZGVhZmU1MjIzMmY5ZDE4NmEifQ=="/>
  </w:docVars>
  <w:rsids>
    <w:rsidRoot w:val="00000000"/>
    <w:rsid w:val="07223F48"/>
    <w:rsid w:val="1523736B"/>
    <w:rsid w:val="19A70233"/>
    <w:rsid w:val="1A68116F"/>
    <w:rsid w:val="1A8A2D91"/>
    <w:rsid w:val="1C0F0A4F"/>
    <w:rsid w:val="1C3C7111"/>
    <w:rsid w:val="20CD7281"/>
    <w:rsid w:val="21182116"/>
    <w:rsid w:val="213A0D09"/>
    <w:rsid w:val="2216231E"/>
    <w:rsid w:val="22614D52"/>
    <w:rsid w:val="22C5161E"/>
    <w:rsid w:val="24637B8A"/>
    <w:rsid w:val="27A21B17"/>
    <w:rsid w:val="282F380E"/>
    <w:rsid w:val="2BE0292F"/>
    <w:rsid w:val="2D4B511A"/>
    <w:rsid w:val="2F173644"/>
    <w:rsid w:val="2F444090"/>
    <w:rsid w:val="2FEB1A42"/>
    <w:rsid w:val="350B5077"/>
    <w:rsid w:val="36AC6221"/>
    <w:rsid w:val="3B2747CE"/>
    <w:rsid w:val="3EAC1412"/>
    <w:rsid w:val="3FF91D95"/>
    <w:rsid w:val="407F331F"/>
    <w:rsid w:val="43DB2432"/>
    <w:rsid w:val="47E27DFE"/>
    <w:rsid w:val="49EA2331"/>
    <w:rsid w:val="4C3A0F68"/>
    <w:rsid w:val="516C7850"/>
    <w:rsid w:val="57C119F2"/>
    <w:rsid w:val="58BE0EFF"/>
    <w:rsid w:val="593510B5"/>
    <w:rsid w:val="5C2D44EC"/>
    <w:rsid w:val="5E647C3D"/>
    <w:rsid w:val="60AD263F"/>
    <w:rsid w:val="63647A76"/>
    <w:rsid w:val="691A574C"/>
    <w:rsid w:val="6C256E4F"/>
    <w:rsid w:val="773060E4"/>
    <w:rsid w:val="7B900CE5"/>
    <w:rsid w:val="7FC90733"/>
    <w:rsid w:val="7FE9385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iPriority="99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Lines="0" w:beforeAutospacing="0" w:afterLines="0" w:afterAutospacing="0" w:line="560" w:lineRule="exact"/>
      <w:ind w:firstLine="880" w:firstLineChars="200"/>
      <w:outlineLvl w:val="1"/>
    </w:pPr>
    <w:rPr>
      <w:rFonts w:ascii="Arial" w:hAnsi="Arial" w:eastAsia="黑体"/>
      <w:sz w:val="32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a heading"/>
    <w:basedOn w:val="1"/>
    <w:next w:val="1"/>
    <w:unhideWhenUsed/>
    <w:qFormat/>
    <w:uiPriority w:val="99"/>
    <w:pPr>
      <w:spacing w:before="120" w:after="200" w:line="276" w:lineRule="auto"/>
    </w:pPr>
    <w:rPr>
      <w:rFonts w:hint="eastAsia" w:ascii="Arial" w:hAnsi="Arial"/>
      <w:sz w:val="24"/>
    </w:rPr>
  </w:style>
  <w:style w:type="paragraph" w:styleId="4">
    <w:name w:val="Body Text"/>
    <w:basedOn w:val="1"/>
    <w:next w:val="1"/>
    <w:qFormat/>
    <w:uiPriority w:val="0"/>
    <w:pPr>
      <w:spacing w:after="120" w:afterLines="0"/>
    </w:pPr>
    <w:rPr>
      <w:rFonts w:eastAsia="宋体"/>
      <w:kern w:val="2"/>
      <w:sz w:val="21"/>
      <w:lang w:val="en-US" w:eastAsia="zh-CN" w:bidi="ar-SA"/>
    </w:rPr>
  </w:style>
  <w:style w:type="paragraph" w:styleId="5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8">
    <w:name w:val="BodyText1I2"/>
    <w:basedOn w:val="9"/>
    <w:next w:val="1"/>
    <w:unhideWhenUsed/>
    <w:qFormat/>
    <w:uiPriority w:val="0"/>
    <w:pPr>
      <w:ind w:firstLine="200" w:firstLineChars="200"/>
    </w:pPr>
    <w:rPr>
      <w:rFonts w:hint="default" w:ascii="Calibri" w:hAnsi="Calibri" w:eastAsia="仿宋_GB2312"/>
      <w:sz w:val="36"/>
    </w:rPr>
  </w:style>
  <w:style w:type="paragraph" w:customStyle="1" w:styleId="9">
    <w:name w:val="BodyTextIndent"/>
    <w:basedOn w:val="1"/>
    <w:unhideWhenUsed/>
    <w:qFormat/>
    <w:uiPriority w:val="0"/>
    <w:pPr>
      <w:spacing w:after="120"/>
      <w:ind w:left="420" w:leftChars="200"/>
      <w:textAlignment w:val="baseline"/>
    </w:pPr>
    <w:rPr>
      <w:rFonts w:hint="eastAsia"/>
      <w:sz w:val="21"/>
      <w:lang w:val="en-US" w:eastAsia="zh-CN"/>
    </w:rPr>
  </w:style>
  <w:style w:type="paragraph" w:customStyle="1" w:styleId="10">
    <w:name w:val="标题1"/>
    <w:basedOn w:val="3"/>
    <w:qFormat/>
    <w:uiPriority w:val="0"/>
    <w:rPr>
      <w:rFonts w:eastAsia="黑体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12</Pages>
  <Words>5703</Words>
  <Characters>6098</Characters>
  <Lines>0</Lines>
  <Paragraphs>0</Paragraphs>
  <TotalTime>10</TotalTime>
  <ScaleCrop>false</ScaleCrop>
  <LinksUpToDate>false</LinksUpToDate>
  <CharactersWithSpaces>6451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2024-09-29T03:34:06Z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1E049EB73BF2431698A1AEFC18E8E204_12</vt:lpwstr>
  </property>
</Properties>
</file>